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58" w:rsidRPr="008B4ABD" w:rsidRDefault="008B4ABD" w:rsidP="008B4ABD">
      <w:pPr>
        <w:rPr>
          <w:rFonts w:asciiTheme="minorHAnsi" w:hAnsiTheme="minorHAnsi" w:cstheme="minorHAnsi"/>
          <w:b/>
          <w:sz w:val="23"/>
          <w:szCs w:val="23"/>
          <w:lang w:val="en-GB"/>
        </w:rPr>
      </w:pPr>
      <w:r w:rsidRPr="008B4ABD">
        <w:rPr>
          <w:rFonts w:asciiTheme="minorHAnsi" w:hAnsiTheme="minorHAnsi" w:cstheme="minorHAnsi"/>
          <w:b/>
          <w:sz w:val="23"/>
          <w:szCs w:val="23"/>
          <w:lang w:val="en-GB"/>
        </w:rPr>
        <w:t>Chapter 1: Introduction</w:t>
      </w:r>
    </w:p>
    <w:p w:rsidR="008B4ABD" w:rsidRPr="008B4ABD" w:rsidRDefault="008B4ABD" w:rsidP="008B4ABD">
      <w:pPr>
        <w:rPr>
          <w:rFonts w:asciiTheme="minorHAnsi" w:hAnsiTheme="minorHAnsi" w:cstheme="minorHAnsi"/>
          <w:sz w:val="23"/>
          <w:szCs w:val="23"/>
          <w:lang w:val="en-GB"/>
        </w:rPr>
      </w:pPr>
    </w:p>
    <w:p w:rsidR="008B4ABD" w:rsidRPr="008B4ABD" w:rsidRDefault="008B4ABD" w:rsidP="008B4ABD">
      <w:pPr>
        <w:pStyle w:val="ListParagraph"/>
        <w:numPr>
          <w:ilvl w:val="0"/>
          <w:numId w:val="1"/>
        </w:numPr>
        <w:spacing w:line="360" w:lineRule="auto"/>
        <w:contextualSpacing w:val="0"/>
        <w:jc w:val="both"/>
        <w:rPr>
          <w:rFonts w:asciiTheme="minorHAnsi" w:hAnsiTheme="minorHAnsi" w:cstheme="minorHAnsi"/>
          <w:sz w:val="23"/>
          <w:szCs w:val="23"/>
        </w:rPr>
      </w:pPr>
      <w:r w:rsidRPr="008B4ABD">
        <w:rPr>
          <w:rFonts w:asciiTheme="minorHAnsi" w:hAnsiTheme="minorHAnsi" w:cstheme="minorHAnsi"/>
          <w:sz w:val="23"/>
          <w:szCs w:val="23"/>
        </w:rPr>
        <w:t>List three reasons as to why so many of people’s social cognitive responses are automatic?</w:t>
      </w:r>
    </w:p>
    <w:p w:rsidR="008B4ABD" w:rsidRPr="008B4ABD" w:rsidRDefault="008B4ABD" w:rsidP="008B4ABD">
      <w:pPr>
        <w:pStyle w:val="ListParagraph"/>
        <w:numPr>
          <w:ilvl w:val="0"/>
          <w:numId w:val="1"/>
        </w:numPr>
        <w:spacing w:line="360" w:lineRule="auto"/>
        <w:contextualSpacing w:val="0"/>
        <w:jc w:val="both"/>
        <w:rPr>
          <w:rFonts w:asciiTheme="minorHAnsi" w:hAnsiTheme="minorHAnsi" w:cstheme="minorHAnsi"/>
          <w:sz w:val="23"/>
          <w:szCs w:val="23"/>
        </w:rPr>
      </w:pPr>
      <w:r w:rsidRPr="008B4ABD">
        <w:rPr>
          <w:rFonts w:asciiTheme="minorHAnsi" w:hAnsiTheme="minorHAnsi" w:cstheme="minorHAnsi"/>
          <w:sz w:val="23"/>
          <w:szCs w:val="23"/>
        </w:rPr>
        <w:t xml:space="preserve">Explain why the difficulty of thought suppression is relevant to depression? Be sure to explain how ruminations are related to thought suppression. </w:t>
      </w:r>
    </w:p>
    <w:p w:rsidR="008B4ABD" w:rsidRPr="008B4ABD" w:rsidRDefault="008B4ABD" w:rsidP="008B4ABD">
      <w:pPr>
        <w:pStyle w:val="ListParagraph"/>
        <w:numPr>
          <w:ilvl w:val="0"/>
          <w:numId w:val="1"/>
        </w:numPr>
        <w:spacing w:line="360" w:lineRule="auto"/>
        <w:contextualSpacing w:val="0"/>
        <w:jc w:val="both"/>
        <w:rPr>
          <w:rFonts w:asciiTheme="minorHAnsi" w:hAnsiTheme="minorHAnsi" w:cstheme="minorHAnsi"/>
          <w:sz w:val="23"/>
          <w:szCs w:val="23"/>
        </w:rPr>
      </w:pPr>
      <w:r w:rsidRPr="008B4ABD">
        <w:rPr>
          <w:rFonts w:asciiTheme="minorHAnsi" w:hAnsiTheme="minorHAnsi" w:cstheme="minorHAnsi"/>
          <w:sz w:val="23"/>
          <w:szCs w:val="23"/>
        </w:rPr>
        <w:t xml:space="preserve">Define intentional thought and provide an example of how a mother may interpret the intent of her 9-year old son when he voluntarily gives his favorite scooter away to his cousin, who is also 9-years old and travelling back home across the country. </w:t>
      </w:r>
    </w:p>
    <w:p w:rsidR="008B4ABD" w:rsidRPr="008B4ABD" w:rsidRDefault="008B4ABD" w:rsidP="008B4ABD">
      <w:pPr>
        <w:pStyle w:val="ListParagraph"/>
        <w:numPr>
          <w:ilvl w:val="0"/>
          <w:numId w:val="1"/>
        </w:numPr>
        <w:spacing w:line="360" w:lineRule="auto"/>
        <w:contextualSpacing w:val="0"/>
        <w:jc w:val="both"/>
        <w:rPr>
          <w:rFonts w:asciiTheme="minorHAnsi" w:hAnsiTheme="minorHAnsi" w:cstheme="minorHAnsi"/>
          <w:sz w:val="23"/>
          <w:szCs w:val="23"/>
        </w:rPr>
      </w:pPr>
      <w:r w:rsidRPr="008B4ABD">
        <w:rPr>
          <w:rFonts w:asciiTheme="minorHAnsi" w:hAnsiTheme="minorHAnsi" w:cstheme="minorHAnsi"/>
          <w:sz w:val="23"/>
          <w:szCs w:val="23"/>
        </w:rPr>
        <w:t>Name two automatic tendencies that result from people’s motive to belong. Define each tendency in your own words and explain each one’s connection to the belonging motive.</w:t>
      </w:r>
    </w:p>
    <w:p w:rsidR="008B4ABD" w:rsidRPr="008B4ABD" w:rsidRDefault="008B4ABD" w:rsidP="008B4ABD">
      <w:pPr>
        <w:pStyle w:val="ListParagraph"/>
        <w:numPr>
          <w:ilvl w:val="0"/>
          <w:numId w:val="1"/>
        </w:numPr>
        <w:spacing w:line="360" w:lineRule="auto"/>
        <w:contextualSpacing w:val="0"/>
        <w:jc w:val="both"/>
        <w:rPr>
          <w:rFonts w:asciiTheme="minorHAnsi" w:hAnsiTheme="minorHAnsi" w:cstheme="minorHAnsi"/>
          <w:sz w:val="23"/>
          <w:szCs w:val="23"/>
        </w:rPr>
      </w:pPr>
      <w:r w:rsidRPr="008B4ABD">
        <w:rPr>
          <w:rFonts w:asciiTheme="minorHAnsi" w:hAnsiTheme="minorHAnsi" w:cstheme="minorHAnsi"/>
          <w:sz w:val="23"/>
          <w:szCs w:val="23"/>
        </w:rPr>
        <w:t xml:space="preserve">Describe two key differences between the dual process model of impression formation proposed by Brewer and the continuum model of impression formation proposed by Taylor and Fiske that are described in the chapter. </w:t>
      </w:r>
    </w:p>
    <w:p w:rsidR="008B4ABD" w:rsidRPr="008B4ABD" w:rsidRDefault="008B4ABD" w:rsidP="008B4ABD">
      <w:pPr>
        <w:pStyle w:val="ListParagraph"/>
        <w:numPr>
          <w:ilvl w:val="0"/>
          <w:numId w:val="1"/>
        </w:numPr>
        <w:spacing w:line="360" w:lineRule="auto"/>
        <w:contextualSpacing w:val="0"/>
        <w:jc w:val="both"/>
        <w:rPr>
          <w:rFonts w:asciiTheme="minorHAnsi" w:hAnsiTheme="minorHAnsi" w:cstheme="minorHAnsi"/>
          <w:sz w:val="23"/>
          <w:szCs w:val="23"/>
        </w:rPr>
      </w:pPr>
      <w:r w:rsidRPr="008B4ABD">
        <w:rPr>
          <w:rFonts w:asciiTheme="minorHAnsi" w:hAnsiTheme="minorHAnsi" w:cstheme="minorHAnsi"/>
          <w:sz w:val="23"/>
          <w:szCs w:val="23"/>
        </w:rPr>
        <w:t>In person perception, are threat-related stimuli more likely to be encoded deliberately or automatically? Provide an example from the literature that illustrates your answer.</w:t>
      </w:r>
    </w:p>
    <w:p w:rsidR="008B4ABD" w:rsidRPr="008B4ABD" w:rsidRDefault="008B4ABD" w:rsidP="008B4ABD">
      <w:pPr>
        <w:rPr>
          <w:rFonts w:asciiTheme="minorHAnsi" w:hAnsiTheme="minorHAnsi" w:cstheme="minorHAnsi"/>
          <w:sz w:val="23"/>
          <w:szCs w:val="23"/>
        </w:rPr>
      </w:pPr>
      <w:bookmarkStart w:id="0" w:name="_GoBack"/>
      <w:bookmarkEnd w:id="0"/>
    </w:p>
    <w:p w:rsidR="008B4ABD" w:rsidRPr="008B4ABD" w:rsidRDefault="008B4ABD" w:rsidP="008B4ABD">
      <w:pPr>
        <w:rPr>
          <w:rFonts w:asciiTheme="minorHAnsi" w:hAnsiTheme="minorHAnsi" w:cstheme="minorHAnsi"/>
          <w:sz w:val="23"/>
          <w:szCs w:val="23"/>
          <w:lang w:val="en-GB"/>
        </w:rPr>
      </w:pPr>
    </w:p>
    <w:sectPr w:rsidR="008B4ABD" w:rsidRPr="008B4ABD" w:rsidSect="00B8666D">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F7"/>
    <w:multiLevelType w:val="hybridMultilevel"/>
    <w:tmpl w:val="EFA0770C"/>
    <w:lvl w:ilvl="0" w:tplc="AB9E76E6">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BB31E2"/>
    <w:multiLevelType w:val="hybridMultilevel"/>
    <w:tmpl w:val="F65A8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17B22"/>
    <w:multiLevelType w:val="hybridMultilevel"/>
    <w:tmpl w:val="552AAB4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EC3D6F"/>
    <w:multiLevelType w:val="hybridMultilevel"/>
    <w:tmpl w:val="205A64C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B0EA2"/>
    <w:multiLevelType w:val="hybridMultilevel"/>
    <w:tmpl w:val="7E028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4F72E7"/>
    <w:multiLevelType w:val="hybridMultilevel"/>
    <w:tmpl w:val="CFC8C5C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1E3CBB"/>
    <w:multiLevelType w:val="hybridMultilevel"/>
    <w:tmpl w:val="31E21A4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B41F5"/>
    <w:multiLevelType w:val="hybridMultilevel"/>
    <w:tmpl w:val="306C227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700A7E"/>
    <w:multiLevelType w:val="hybridMultilevel"/>
    <w:tmpl w:val="699AB4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DB26AE"/>
    <w:multiLevelType w:val="hybridMultilevel"/>
    <w:tmpl w:val="43403DA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9154F2"/>
    <w:multiLevelType w:val="hybridMultilevel"/>
    <w:tmpl w:val="0B702D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E809A2"/>
    <w:multiLevelType w:val="hybridMultilevel"/>
    <w:tmpl w:val="6134670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60317"/>
    <w:multiLevelType w:val="hybridMultilevel"/>
    <w:tmpl w:val="6A3AB79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8C1A03"/>
    <w:multiLevelType w:val="hybridMultilevel"/>
    <w:tmpl w:val="5366DA9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3D0E20"/>
    <w:multiLevelType w:val="hybridMultilevel"/>
    <w:tmpl w:val="3B5C863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0"/>
  </w:num>
  <w:num w:numId="4">
    <w:abstractNumId w:val="9"/>
  </w:num>
  <w:num w:numId="5">
    <w:abstractNumId w:val="7"/>
  </w:num>
  <w:num w:numId="6">
    <w:abstractNumId w:val="8"/>
  </w:num>
  <w:num w:numId="7">
    <w:abstractNumId w:val="12"/>
  </w:num>
  <w:num w:numId="8">
    <w:abstractNumId w:val="0"/>
  </w:num>
  <w:num w:numId="9">
    <w:abstractNumId w:val="1"/>
  </w:num>
  <w:num w:numId="10">
    <w:abstractNumId w:val="2"/>
  </w:num>
  <w:num w:numId="11">
    <w:abstractNumId w:val="5"/>
  </w:num>
  <w:num w:numId="12">
    <w:abstractNumId w:val="13"/>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D"/>
    <w:rsid w:val="001B6D5E"/>
    <w:rsid w:val="002C0358"/>
    <w:rsid w:val="003A32AD"/>
    <w:rsid w:val="006E1F3E"/>
    <w:rsid w:val="008B4ABD"/>
    <w:rsid w:val="00B8666D"/>
    <w:rsid w:val="00C0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00BB"/>
  <w15:chartTrackingRefBased/>
  <w15:docId w15:val="{94426950-4F9B-4542-BC49-3B1FBB0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6D"/>
    <w:pPr>
      <w:spacing w:after="0" w:line="24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6D"/>
    <w:pPr>
      <w:ind w:left="720"/>
      <w:contextualSpacing/>
    </w:pPr>
  </w:style>
  <w:style w:type="character" w:customStyle="1" w:styleId="apple-converted-space">
    <w:name w:val="apple-converted-space"/>
    <w:basedOn w:val="DefaultParagraphFont"/>
    <w:rsid w:val="00B8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Lauren</dc:creator>
  <cp:keywords/>
  <dc:description/>
  <cp:lastModifiedBy>Ferreira, Lauren</cp:lastModifiedBy>
  <cp:revision>2</cp:revision>
  <cp:lastPrinted>2017-04-20T09:57:00Z</cp:lastPrinted>
  <dcterms:created xsi:type="dcterms:W3CDTF">2017-04-20T10:22:00Z</dcterms:created>
  <dcterms:modified xsi:type="dcterms:W3CDTF">2017-04-20T10:22:00Z</dcterms:modified>
</cp:coreProperties>
</file>