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BC" w:rsidRPr="003A10EE" w:rsidRDefault="00DE09BC" w:rsidP="008E1AC2">
      <w:pPr>
        <w:pStyle w:val="Title"/>
      </w:pPr>
      <w:bookmarkStart w:id="0" w:name="_GoBack"/>
      <w:bookmarkEnd w:id="0"/>
      <w:r w:rsidRPr="00474A11">
        <w:t xml:space="preserve">Strategies for </w:t>
      </w:r>
      <w:r w:rsidR="00CF6899">
        <w:t>G</w:t>
      </w:r>
      <w:r w:rsidR="00CF6899" w:rsidRPr="00474A11">
        <w:t xml:space="preserve">roup </w:t>
      </w:r>
      <w:r w:rsidR="00CF6899">
        <w:t>C</w:t>
      </w:r>
      <w:r w:rsidR="00CF6899" w:rsidRPr="00474A11">
        <w:t>hange</w:t>
      </w:r>
    </w:p>
    <w:tbl>
      <w:tblPr>
        <w:tblW w:w="5000" w:type="pct"/>
        <w:tblCellMar>
          <w:left w:w="0" w:type="dxa"/>
          <w:right w:w="0" w:type="dxa"/>
        </w:tblCellMar>
        <w:tblLook w:val="0000" w:firstRow="0" w:lastRow="0" w:firstColumn="0" w:lastColumn="0" w:noHBand="0" w:noVBand="0"/>
      </w:tblPr>
      <w:tblGrid>
        <w:gridCol w:w="3523"/>
        <w:gridCol w:w="5487"/>
      </w:tblGrid>
      <w:tr w:rsidR="00DE09BC" w:rsidRPr="00474A11" w:rsidTr="00237167">
        <w:trPr>
          <w:trHeight w:val="60"/>
        </w:trPr>
        <w:tc>
          <w:tcPr>
            <w:tcW w:w="1955" w:type="pct"/>
            <w:tcBorders>
              <w:top w:val="single" w:sz="4" w:space="0" w:color="000000"/>
              <w:left w:val="single" w:sz="6" w:space="0" w:color="000000"/>
              <w:bottom w:val="single" w:sz="4" w:space="0" w:color="000000"/>
              <w:right w:val="single" w:sz="6" w:space="0" w:color="000000"/>
            </w:tcBorders>
            <w:tcMar>
              <w:top w:w="100" w:type="dxa"/>
              <w:left w:w="0" w:type="dxa"/>
              <w:bottom w:w="100" w:type="dxa"/>
              <w:right w:w="0" w:type="dxa"/>
            </w:tcMar>
          </w:tcPr>
          <w:p w:rsidR="00DE09BC" w:rsidRPr="003B21F4" w:rsidRDefault="00DE09BC" w:rsidP="003B21F4">
            <w:pPr>
              <w:contextualSpacing w:val="0"/>
              <w:rPr>
                <w:b/>
                <w:sz w:val="22"/>
              </w:rPr>
            </w:pPr>
            <w:r w:rsidRPr="003B21F4">
              <w:rPr>
                <w:b/>
              </w:rPr>
              <w:t>Strategy</w:t>
            </w:r>
          </w:p>
        </w:tc>
        <w:tc>
          <w:tcPr>
            <w:tcW w:w="3045" w:type="pct"/>
            <w:tcBorders>
              <w:top w:val="single" w:sz="4" w:space="0" w:color="000000"/>
              <w:left w:val="single" w:sz="6" w:space="0" w:color="000000"/>
              <w:bottom w:val="single" w:sz="4" w:space="0" w:color="000000"/>
              <w:right w:val="single" w:sz="6" w:space="0" w:color="000000"/>
            </w:tcBorders>
            <w:tcMar>
              <w:top w:w="100" w:type="dxa"/>
              <w:left w:w="120" w:type="dxa"/>
              <w:bottom w:w="100" w:type="dxa"/>
              <w:right w:w="0" w:type="dxa"/>
            </w:tcMar>
          </w:tcPr>
          <w:p w:rsidR="00DE09BC" w:rsidRPr="003B21F4" w:rsidRDefault="00DE09BC" w:rsidP="003B21F4">
            <w:pPr>
              <w:contextualSpacing w:val="0"/>
              <w:rPr>
                <w:b/>
                <w:sz w:val="22"/>
              </w:rPr>
            </w:pPr>
            <w:r w:rsidRPr="003B21F4">
              <w:rPr>
                <w:b/>
              </w:rPr>
              <w:t>Use</w:t>
            </w:r>
          </w:p>
        </w:tc>
      </w:tr>
      <w:tr w:rsidR="00DE09BC" w:rsidRPr="00474A11" w:rsidTr="00237167">
        <w:trPr>
          <w:trHeight w:val="60"/>
        </w:trPr>
        <w:tc>
          <w:tcPr>
            <w:tcW w:w="1955" w:type="pct"/>
            <w:tcBorders>
              <w:top w:val="single" w:sz="4" w:space="0" w:color="000000"/>
              <w:left w:val="single" w:sz="6" w:space="0" w:color="000000"/>
              <w:bottom w:val="single" w:sz="6" w:space="0" w:color="000000"/>
              <w:right w:val="single" w:sz="6" w:space="0" w:color="000000"/>
            </w:tcBorders>
            <w:tcMar>
              <w:top w:w="100" w:type="dxa"/>
              <w:left w:w="0" w:type="dxa"/>
              <w:bottom w:w="80" w:type="dxa"/>
              <w:right w:w="0" w:type="dxa"/>
            </w:tcMar>
          </w:tcPr>
          <w:p w:rsidR="00DE09BC" w:rsidRPr="003B21F4" w:rsidRDefault="00DE09BC" w:rsidP="003B21F4">
            <w:pPr>
              <w:rPr>
                <w:sz w:val="22"/>
              </w:rPr>
            </w:pPr>
            <w:r w:rsidRPr="00CF6899">
              <w:t>Power–coercive approach</w:t>
            </w:r>
          </w:p>
        </w:tc>
        <w:tc>
          <w:tcPr>
            <w:tcW w:w="3045" w:type="pct"/>
            <w:tcBorders>
              <w:top w:val="single" w:sz="4" w:space="0" w:color="000000"/>
              <w:left w:val="single" w:sz="6" w:space="0" w:color="000000"/>
              <w:bottom w:val="single" w:sz="6" w:space="0" w:color="000000"/>
              <w:right w:val="single" w:sz="6" w:space="0" w:color="000000"/>
            </w:tcBorders>
            <w:tcMar>
              <w:top w:w="100" w:type="dxa"/>
              <w:left w:w="120" w:type="dxa"/>
              <w:bottom w:w="80" w:type="dxa"/>
              <w:right w:w="0" w:type="dxa"/>
            </w:tcMar>
          </w:tcPr>
          <w:p w:rsidR="00DE09BC" w:rsidRPr="003B21F4" w:rsidRDefault="00DE09BC" w:rsidP="003B21F4">
            <w:pPr>
              <w:rPr>
                <w:sz w:val="22"/>
              </w:rPr>
            </w:pPr>
            <w:r w:rsidRPr="00CF6899">
              <w:t>This can be used when resistance is expected but when acceptance is not important to power source. The importance of power, control, authority and threat of job loss to gain compliance with change – ‘do it or leave!’</w:t>
            </w:r>
          </w:p>
        </w:tc>
      </w:tr>
      <w:tr w:rsidR="00DE09BC" w:rsidRPr="00474A11" w:rsidTr="00237167">
        <w:trPr>
          <w:trHeight w:val="60"/>
        </w:trPr>
        <w:tc>
          <w:tcPr>
            <w:tcW w:w="1955" w:type="pct"/>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DE09BC" w:rsidRPr="003B21F4" w:rsidRDefault="00DE09BC" w:rsidP="003B21F4">
            <w:pPr>
              <w:rPr>
                <w:sz w:val="22"/>
              </w:rPr>
            </w:pPr>
            <w:r w:rsidRPr="00CF6899">
              <w:t>Normative–re-educative approach</w:t>
            </w:r>
          </w:p>
        </w:tc>
        <w:tc>
          <w:tcPr>
            <w:tcW w:w="3045" w:type="pct"/>
            <w:tcBorders>
              <w:top w:val="single" w:sz="6" w:space="0" w:color="000000"/>
              <w:left w:val="single" w:sz="6" w:space="0" w:color="000000"/>
              <w:bottom w:val="single" w:sz="6" w:space="0" w:color="000000"/>
              <w:right w:val="single" w:sz="6" w:space="0" w:color="000000"/>
            </w:tcBorders>
            <w:tcMar>
              <w:top w:w="80" w:type="dxa"/>
              <w:left w:w="120" w:type="dxa"/>
              <w:bottom w:w="80" w:type="dxa"/>
              <w:right w:w="0" w:type="dxa"/>
            </w:tcMar>
          </w:tcPr>
          <w:p w:rsidR="00DE09BC" w:rsidRPr="003B21F4" w:rsidRDefault="00DE09BC" w:rsidP="003B21F4">
            <w:pPr>
              <w:rPr>
                <w:sz w:val="22"/>
              </w:rPr>
            </w:pPr>
            <w:r w:rsidRPr="00CF6899">
              <w:t>This is based on the need for good working relationships as a method of inducing support for change. It focuses on these relationship needs and stresses the importance of ‘going with the majority’.</w:t>
            </w:r>
          </w:p>
        </w:tc>
      </w:tr>
      <w:tr w:rsidR="00DE09BC" w:rsidRPr="00474A11" w:rsidTr="00237167">
        <w:trPr>
          <w:trHeight w:val="60"/>
        </w:trPr>
        <w:tc>
          <w:tcPr>
            <w:tcW w:w="1955" w:type="pct"/>
            <w:tcBorders>
              <w:top w:val="single" w:sz="6" w:space="0" w:color="000000"/>
              <w:left w:val="single" w:sz="6" w:space="0" w:color="000000"/>
              <w:bottom w:val="single" w:sz="4" w:space="0" w:color="000000"/>
              <w:right w:val="single" w:sz="6" w:space="0" w:color="000000"/>
            </w:tcBorders>
            <w:tcMar>
              <w:top w:w="80" w:type="dxa"/>
              <w:left w:w="0" w:type="dxa"/>
              <w:bottom w:w="100" w:type="dxa"/>
              <w:right w:w="0" w:type="dxa"/>
            </w:tcMar>
          </w:tcPr>
          <w:p w:rsidR="00DE09BC" w:rsidRPr="003B21F4" w:rsidRDefault="00DE09BC" w:rsidP="003B21F4">
            <w:pPr>
              <w:rPr>
                <w:sz w:val="22"/>
              </w:rPr>
            </w:pPr>
            <w:r w:rsidRPr="00CF6899">
              <w:t>Rational–empirical approach</w:t>
            </w:r>
          </w:p>
        </w:tc>
        <w:tc>
          <w:tcPr>
            <w:tcW w:w="3045" w:type="pct"/>
            <w:tcBorders>
              <w:top w:val="single" w:sz="6" w:space="0" w:color="000000"/>
              <w:left w:val="single" w:sz="6" w:space="0" w:color="000000"/>
              <w:bottom w:val="single" w:sz="4" w:space="0" w:color="000000"/>
              <w:right w:val="single" w:sz="6" w:space="0" w:color="000000"/>
            </w:tcBorders>
            <w:tcMar>
              <w:top w:w="80" w:type="dxa"/>
              <w:left w:w="120" w:type="dxa"/>
              <w:bottom w:w="100" w:type="dxa"/>
              <w:right w:w="0" w:type="dxa"/>
            </w:tcMar>
          </w:tcPr>
          <w:p w:rsidR="00DE09BC" w:rsidRPr="003B21F4" w:rsidRDefault="00DE09BC" w:rsidP="003B21F4">
            <w:pPr>
              <w:rPr>
                <w:sz w:val="22"/>
              </w:rPr>
            </w:pPr>
            <w:r w:rsidRPr="00CF6899">
              <w:t xml:space="preserve">Uses knowledge to encourage change. Once individuals understand the need for individual change and </w:t>
            </w:r>
            <w:r w:rsidR="00CF6899" w:rsidRPr="00CF6899">
              <w:t>organi</w:t>
            </w:r>
            <w:r w:rsidR="00CF6899">
              <w:t>z</w:t>
            </w:r>
            <w:r w:rsidR="00CF6899" w:rsidRPr="00CF6899">
              <w:t xml:space="preserve">ational </w:t>
            </w:r>
            <w:r w:rsidRPr="00CF6899">
              <w:t>change, they will cooperate. It focuses on training and communication. It is used when little resistance is anticipated.</w:t>
            </w:r>
          </w:p>
        </w:tc>
      </w:tr>
    </w:tbl>
    <w:p w:rsidR="00CF6899" w:rsidRPr="003B21F4" w:rsidRDefault="00CF6899" w:rsidP="002B0D32">
      <w:pPr>
        <w:rPr>
          <w:b/>
        </w:rPr>
      </w:pPr>
    </w:p>
    <w:p w:rsidR="002B0D32" w:rsidRPr="003B21F4" w:rsidRDefault="002B0D32" w:rsidP="002B0D32">
      <w:r w:rsidRPr="003B21F4">
        <w:rPr>
          <w:b/>
          <w:i/>
        </w:rPr>
        <w:t>Source:</w:t>
      </w:r>
      <w:r w:rsidRPr="003B21F4">
        <w:t xml:space="preserve"> Bennis, W.G. and </w:t>
      </w:r>
      <w:proofErr w:type="spellStart"/>
      <w:r w:rsidRPr="003B21F4">
        <w:t>Nanus</w:t>
      </w:r>
      <w:proofErr w:type="spellEnd"/>
      <w:r w:rsidRPr="003B21F4">
        <w:t>, B. (1985)</w:t>
      </w:r>
      <w:r w:rsidR="00CF6899">
        <w:t>.</w:t>
      </w:r>
      <w:r w:rsidRPr="003B21F4">
        <w:t xml:space="preserve"> </w:t>
      </w:r>
      <w:r w:rsidRPr="003B21F4">
        <w:rPr>
          <w:i/>
        </w:rPr>
        <w:t>Leadership: Strategies for Taking Charge</w:t>
      </w:r>
      <w:r w:rsidRPr="003B21F4">
        <w:t>. New York: Harper &amp; Row</w:t>
      </w:r>
      <w:r w:rsidR="009745AB" w:rsidRPr="003B21F4">
        <w:t>.</w:t>
      </w:r>
    </w:p>
    <w:sectPr w:rsidR="002B0D32" w:rsidRPr="003B21F4" w:rsidSect="003B21F4">
      <w:head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27" w:rsidRDefault="00E83527" w:rsidP="00523312">
      <w:pPr>
        <w:spacing w:before="0" w:after="0" w:line="240" w:lineRule="auto"/>
      </w:pPr>
      <w:r>
        <w:separator/>
      </w:r>
    </w:p>
  </w:endnote>
  <w:endnote w:type="continuationSeparator" w:id="0">
    <w:p w:rsidR="00E83527" w:rsidRDefault="00E83527" w:rsidP="00523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27" w:rsidRDefault="00E83527" w:rsidP="00523312">
      <w:pPr>
        <w:spacing w:before="0" w:after="0" w:line="240" w:lineRule="auto"/>
      </w:pPr>
      <w:r>
        <w:separator/>
      </w:r>
    </w:p>
  </w:footnote>
  <w:footnote w:type="continuationSeparator" w:id="0">
    <w:p w:rsidR="00E83527" w:rsidRDefault="00E83527" w:rsidP="00523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12" w:rsidRDefault="00523312" w:rsidP="003B21F4">
    <w:pPr>
      <w:pStyle w:val="Header"/>
      <w:spacing w:before="0" w:after="0" w:line="240" w:lineRule="auto"/>
      <w:contextualSpacing w:val="0"/>
      <w:jc w:val="right"/>
    </w:pPr>
    <w:r>
      <w:t>Instructor Resource</w:t>
    </w:r>
  </w:p>
  <w:p w:rsidR="00523312" w:rsidRDefault="00523312" w:rsidP="00523312">
    <w:pPr>
      <w:pStyle w:val="Header"/>
      <w:spacing w:line="240" w:lineRule="auto"/>
      <w:jc w:val="right"/>
      <w:rPr>
        <w:i/>
      </w:rPr>
    </w:pPr>
    <w:r>
      <w:t xml:space="preserve">Barr &amp; Dowding, </w:t>
    </w:r>
    <w:r>
      <w:rPr>
        <w:i/>
      </w:rPr>
      <w:t>Leadership in Health Care, 4e</w:t>
    </w:r>
  </w:p>
  <w:p w:rsidR="00523312" w:rsidRDefault="00523312" w:rsidP="003B21F4">
    <w:pPr>
      <w:pStyle w:val="Header"/>
      <w:ind w:firstLine="360"/>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BC"/>
    <w:rsid w:val="001A7374"/>
    <w:rsid w:val="0025019F"/>
    <w:rsid w:val="002A1068"/>
    <w:rsid w:val="002B0D32"/>
    <w:rsid w:val="003A10EE"/>
    <w:rsid w:val="003B21F4"/>
    <w:rsid w:val="00523312"/>
    <w:rsid w:val="007A4970"/>
    <w:rsid w:val="008E1AC2"/>
    <w:rsid w:val="009745AB"/>
    <w:rsid w:val="00AA6BD3"/>
    <w:rsid w:val="00CF6899"/>
    <w:rsid w:val="00DE09BC"/>
    <w:rsid w:val="00E83527"/>
    <w:rsid w:val="00F546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D6E38-15B7-4FBA-BEFD-BB302D98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68"/>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068"/>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2A1068"/>
    <w:pPr>
      <w:keepNext/>
      <w:keepLines/>
      <w:spacing w:after="0"/>
      <w:outlineLvl w:val="1"/>
    </w:pPr>
    <w:rPr>
      <w:rFonts w:ascii="Times New Roman Bold" w:hAnsi="Times New Roman Bold"/>
      <w:b/>
      <w:bCs/>
      <w:color w:val="4F81BD" w:themeColor="accent1"/>
      <w:sz w:val="26"/>
      <w:szCs w:val="26"/>
    </w:rPr>
  </w:style>
  <w:style w:type="paragraph" w:styleId="Heading3">
    <w:name w:val="heading 3"/>
    <w:basedOn w:val="Normal"/>
    <w:next w:val="Normal"/>
    <w:link w:val="Heading3Char"/>
    <w:autoRedefine/>
    <w:uiPriority w:val="9"/>
    <w:unhideWhenUsed/>
    <w:qFormat/>
    <w:rsid w:val="002A1068"/>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DE09BC"/>
    <w:rPr>
      <w:sz w:val="20"/>
      <w:szCs w:val="22"/>
    </w:rPr>
  </w:style>
  <w:style w:type="paragraph" w:customStyle="1" w:styleId="TableColumnHead">
    <w:name w:val="Table Column Head"/>
    <w:basedOn w:val="Normal"/>
    <w:rsid w:val="00DE09BC"/>
    <w:pPr>
      <w:tabs>
        <w:tab w:val="center" w:pos="2880"/>
        <w:tab w:val="center" w:pos="5040"/>
        <w:tab w:val="center" w:pos="7200"/>
      </w:tabs>
      <w:jc w:val="center"/>
    </w:pPr>
    <w:rPr>
      <w:i/>
      <w:sz w:val="20"/>
    </w:rPr>
  </w:style>
  <w:style w:type="paragraph" w:customStyle="1" w:styleId="TableCaption">
    <w:name w:val="Table Caption"/>
    <w:basedOn w:val="Normal"/>
    <w:uiPriority w:val="99"/>
    <w:rsid w:val="00DE09BC"/>
    <w:pPr>
      <w:spacing w:before="240"/>
    </w:pPr>
  </w:style>
  <w:style w:type="paragraph" w:styleId="Title">
    <w:name w:val="Title"/>
    <w:basedOn w:val="Normal"/>
    <w:next w:val="Normal"/>
    <w:link w:val="TitleChar"/>
    <w:qFormat/>
    <w:rsid w:val="002A1068"/>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2A1068"/>
    <w:rPr>
      <w:rFonts w:ascii="Times New Roman" w:eastAsiaTheme="majorEastAsia" w:hAnsi="Times New Roman" w:cstheme="majorBidi"/>
      <w:color w:val="244061" w:themeColor="accent1" w:themeShade="80"/>
      <w:spacing w:val="5"/>
      <w:kern w:val="28"/>
      <w:sz w:val="52"/>
      <w:szCs w:val="52"/>
      <w:lang w:val="en-US"/>
    </w:rPr>
  </w:style>
  <w:style w:type="character" w:customStyle="1" w:styleId="Heading1Char">
    <w:name w:val="Heading 1 Char"/>
    <w:basedOn w:val="DefaultParagraphFont"/>
    <w:link w:val="Heading1"/>
    <w:rsid w:val="002A1068"/>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2A1068"/>
    <w:rPr>
      <w:rFonts w:ascii="Times New Roman Bold" w:eastAsia="Times New Roman" w:hAnsi="Times New Roman Bold" w:cs="Times New Roman"/>
      <w:b/>
      <w:bCs/>
      <w:color w:val="4F81BD" w:themeColor="accent1"/>
      <w:sz w:val="26"/>
      <w:szCs w:val="26"/>
      <w:lang w:val="en-US"/>
    </w:rPr>
  </w:style>
  <w:style w:type="character" w:customStyle="1" w:styleId="Heading3Char">
    <w:name w:val="Heading 3 Char"/>
    <w:link w:val="Heading3"/>
    <w:uiPriority w:val="9"/>
    <w:rsid w:val="002A1068"/>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2A1068"/>
    <w:pPr>
      <w:tabs>
        <w:tab w:val="center" w:pos="4320"/>
        <w:tab w:val="right" w:pos="8640"/>
      </w:tabs>
    </w:pPr>
  </w:style>
  <w:style w:type="character" w:customStyle="1" w:styleId="HeaderChar">
    <w:name w:val="Header Char"/>
    <w:basedOn w:val="DefaultParagraphFont"/>
    <w:link w:val="Header"/>
    <w:rsid w:val="00523312"/>
    <w:rPr>
      <w:rFonts w:ascii="Times New Roman" w:eastAsia="Times New Roman" w:hAnsi="Times New Roman" w:cs="Times New Roman"/>
      <w:sz w:val="24"/>
      <w:szCs w:val="24"/>
      <w:lang w:val="en-US"/>
    </w:rPr>
  </w:style>
  <w:style w:type="character" w:styleId="PageNumber">
    <w:name w:val="page number"/>
    <w:basedOn w:val="DefaultParagraphFont"/>
    <w:rsid w:val="002A1068"/>
  </w:style>
  <w:style w:type="paragraph" w:styleId="ListParagraph">
    <w:name w:val="List Paragraph"/>
    <w:basedOn w:val="Normal"/>
    <w:autoRedefine/>
    <w:uiPriority w:val="34"/>
    <w:qFormat/>
    <w:rsid w:val="002A1068"/>
    <w:pPr>
      <w:spacing w:before="0" w:after="0"/>
      <w:ind w:left="720" w:hanging="360"/>
      <w:jc w:val="both"/>
    </w:pPr>
    <w:rPr>
      <w:rFonts w:eastAsia="Calibri"/>
    </w:rPr>
  </w:style>
  <w:style w:type="character" w:styleId="Hyperlink">
    <w:name w:val="Hyperlink"/>
    <w:uiPriority w:val="99"/>
    <w:unhideWhenUsed/>
    <w:rsid w:val="002A1068"/>
    <w:rPr>
      <w:color w:val="0000FF"/>
      <w:u w:val="single"/>
    </w:rPr>
  </w:style>
  <w:style w:type="character" w:customStyle="1" w:styleId="apple-converted-space">
    <w:name w:val="apple-converted-space"/>
    <w:basedOn w:val="DefaultParagraphFont"/>
    <w:rsid w:val="002A1068"/>
  </w:style>
  <w:style w:type="paragraph" w:customStyle="1" w:styleId="NumberedList">
    <w:name w:val="Numbered List"/>
    <w:basedOn w:val="Normal"/>
    <w:uiPriority w:val="99"/>
    <w:qFormat/>
    <w:rsid w:val="002A1068"/>
    <w:pPr>
      <w:numPr>
        <w:numId w:val="11"/>
      </w:numPr>
    </w:pPr>
    <w:rPr>
      <w:rFonts w:eastAsia="Calibri"/>
      <w:szCs w:val="22"/>
    </w:rPr>
  </w:style>
  <w:style w:type="paragraph" w:customStyle="1" w:styleId="ReferenceText">
    <w:name w:val="Reference Text"/>
    <w:basedOn w:val="Normal"/>
    <w:uiPriority w:val="99"/>
    <w:qFormat/>
    <w:rsid w:val="002A1068"/>
    <w:pPr>
      <w:ind w:left="720" w:hanging="720"/>
    </w:pPr>
    <w:rPr>
      <w:rFonts w:eastAsiaTheme="minorHAnsi" w:cstheme="minorBidi"/>
      <w:szCs w:val="22"/>
    </w:rPr>
  </w:style>
  <w:style w:type="paragraph" w:styleId="Footer">
    <w:name w:val="footer"/>
    <w:basedOn w:val="Normal"/>
    <w:link w:val="FooterChar"/>
    <w:rsid w:val="002A1068"/>
    <w:pPr>
      <w:tabs>
        <w:tab w:val="center" w:pos="4680"/>
        <w:tab w:val="right" w:pos="9360"/>
      </w:tabs>
    </w:pPr>
  </w:style>
  <w:style w:type="character" w:customStyle="1" w:styleId="FooterChar">
    <w:name w:val="Footer Char"/>
    <w:basedOn w:val="DefaultParagraphFont"/>
    <w:link w:val="Footer"/>
    <w:rsid w:val="002A1068"/>
    <w:rPr>
      <w:rFonts w:ascii="Times New Roman" w:eastAsia="Times New Roman" w:hAnsi="Times New Roman" w:cs="Times New Roman"/>
      <w:sz w:val="24"/>
      <w:szCs w:val="24"/>
      <w:lang w:val="en-US"/>
    </w:rPr>
  </w:style>
  <w:style w:type="paragraph" w:styleId="BalloonText">
    <w:name w:val="Balloon Text"/>
    <w:basedOn w:val="Normal"/>
    <w:link w:val="BalloonTextChar"/>
    <w:rsid w:val="002A1068"/>
    <w:rPr>
      <w:rFonts w:ascii="Tahoma" w:hAnsi="Tahoma" w:cs="Tahoma"/>
      <w:sz w:val="16"/>
      <w:szCs w:val="16"/>
    </w:rPr>
  </w:style>
  <w:style w:type="character" w:customStyle="1" w:styleId="BalloonTextChar">
    <w:name w:val="Balloon Text Char"/>
    <w:basedOn w:val="DefaultParagraphFont"/>
    <w:link w:val="BalloonText"/>
    <w:rsid w:val="002A1068"/>
    <w:rPr>
      <w:rFonts w:ascii="Tahoma" w:eastAsia="Times New Roman" w:hAnsi="Tahoma" w:cs="Tahoma"/>
      <w:sz w:val="16"/>
      <w:szCs w:val="16"/>
      <w:lang w:val="en-US"/>
    </w:rPr>
  </w:style>
  <w:style w:type="paragraph" w:customStyle="1" w:styleId="BulletedList">
    <w:name w:val="Bulleted List"/>
    <w:basedOn w:val="Normal"/>
    <w:qFormat/>
    <w:rsid w:val="002A1068"/>
    <w:pPr>
      <w:numPr>
        <w:numId w:val="12"/>
      </w:numPr>
    </w:pPr>
  </w:style>
  <w:style w:type="paragraph" w:customStyle="1" w:styleId="BL">
    <w:name w:val="BL"/>
    <w:basedOn w:val="Normal"/>
    <w:autoRedefine/>
    <w:uiPriority w:val="99"/>
    <w:rsid w:val="002A1068"/>
    <w:pPr>
      <w:widowControl w:val="0"/>
      <w:numPr>
        <w:numId w:val="13"/>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2A1068"/>
    <w:pPr>
      <w:ind w:left="720" w:hanging="360"/>
    </w:pPr>
    <w:rPr>
      <w:color w:val="000000"/>
    </w:rPr>
  </w:style>
  <w:style w:type="table" w:styleId="TableGrid">
    <w:name w:val="Table Grid"/>
    <w:basedOn w:val="TableNormal"/>
    <w:uiPriority w:val="59"/>
    <w:rsid w:val="002A10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68C56-18F8-466C-AABC-59B1F575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Dowding</dc:creator>
  <cp:lastModifiedBy>Victoria Nicholas</cp:lastModifiedBy>
  <cp:revision>2</cp:revision>
  <dcterms:created xsi:type="dcterms:W3CDTF">2019-02-12T17:05:00Z</dcterms:created>
  <dcterms:modified xsi:type="dcterms:W3CDTF">2019-02-12T17:05:00Z</dcterms:modified>
</cp:coreProperties>
</file>