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1BCC" w14:textId="77777777" w:rsidR="00FC3C3D" w:rsidRDefault="00FC3C3D" w:rsidP="00FC3C3D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A221C9">
        <w:rPr>
          <w:rFonts w:ascii="ITC Garamond Std Lt" w:hAnsi="ITC Garamond Std Lt"/>
          <w:sz w:val="19"/>
          <w:szCs w:val="19"/>
        </w:rPr>
        <w:t>Figure 19.7 Visual Solutions for 16 × 5</w:t>
      </w:r>
    </w:p>
    <w:p w14:paraId="43BC4570" w14:textId="77777777" w:rsidR="00FC3C3D" w:rsidRDefault="00FC3C3D" w:rsidP="00FC3C3D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4F3255D" wp14:editId="7EED16BB">
            <wp:extent cx="4114800" cy="21240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D551" w14:textId="29FF92F3" w:rsidR="00BF0569" w:rsidRPr="00FC3C3D" w:rsidRDefault="00BF0569" w:rsidP="00FC3C3D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FC3C3D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E0211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2020-07-10T10:44:00Z</dcterms:created>
  <dcterms:modified xsi:type="dcterms:W3CDTF">2020-07-10T10:44:00Z</dcterms:modified>
</cp:coreProperties>
</file>