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7C1E9" w14:textId="77777777" w:rsidR="00DD719B" w:rsidRDefault="00DD719B" w:rsidP="003214D8">
      <w:pPr>
        <w:pStyle w:val="Title"/>
      </w:pPr>
      <w:bookmarkStart w:id="0" w:name="_GoBack"/>
      <w:bookmarkEnd w:id="0"/>
      <w:r>
        <w:t>Appendix</w:t>
      </w:r>
    </w:p>
    <w:p w14:paraId="5386D352" w14:textId="77777777" w:rsidR="0038556F" w:rsidRPr="006B6F43" w:rsidRDefault="0038556F" w:rsidP="003214D8">
      <w:pPr>
        <w:pStyle w:val="Heading1"/>
      </w:pPr>
      <w:r w:rsidRPr="006B6F43">
        <w:t xml:space="preserve">Chapter 7: </w:t>
      </w:r>
      <w:r w:rsidR="00DD719B">
        <w:t xml:space="preserve">Event </w:t>
      </w:r>
      <w:r w:rsidR="00C632FB">
        <w:t>finance, online payment solutions and budgeting</w:t>
      </w:r>
    </w:p>
    <w:p w14:paraId="7665DC29" w14:textId="77777777" w:rsidR="0038556F" w:rsidRPr="006B6F43" w:rsidRDefault="0038556F" w:rsidP="0038556F">
      <w:pPr>
        <w:spacing w:line="480" w:lineRule="auto"/>
        <w:rPr>
          <w:i/>
          <w:lang w:eastAsia="ar-SA"/>
        </w:rPr>
      </w:pPr>
      <w:r w:rsidRPr="006B6F43">
        <w:rPr>
          <w:i/>
          <w:lang w:eastAsia="ar-SA"/>
        </w:rPr>
        <w:t>Table 7.1: Sample Event Business Plan Template</w:t>
      </w:r>
    </w:p>
    <w:tbl>
      <w:tblPr>
        <w:tblStyle w:val="TableGrid"/>
        <w:tblW w:w="5000" w:type="pct"/>
        <w:tblLook w:val="04A0" w:firstRow="1" w:lastRow="0" w:firstColumn="1" w:lastColumn="0" w:noHBand="0" w:noVBand="1"/>
      </w:tblPr>
      <w:tblGrid>
        <w:gridCol w:w="9242"/>
      </w:tblGrid>
      <w:tr w:rsidR="0038556F" w:rsidRPr="004C1800" w14:paraId="1D63DC3E" w14:textId="77777777" w:rsidTr="003214D8">
        <w:trPr>
          <w:trHeight w:val="2826"/>
        </w:trPr>
        <w:tc>
          <w:tcPr>
            <w:tcW w:w="5000" w:type="pct"/>
            <w:tcBorders>
              <w:top w:val="single" w:sz="4" w:space="0" w:color="auto"/>
              <w:left w:val="single" w:sz="4" w:space="0" w:color="auto"/>
              <w:bottom w:val="single" w:sz="4" w:space="0" w:color="auto"/>
              <w:right w:val="single" w:sz="4" w:space="0" w:color="auto"/>
            </w:tcBorders>
          </w:tcPr>
          <w:p w14:paraId="11D54CB4" w14:textId="77777777" w:rsidR="0038556F" w:rsidRPr="004C1800" w:rsidRDefault="0038556F" w:rsidP="0038556F">
            <w:pPr>
              <w:pStyle w:val="ListParagraph"/>
              <w:rPr>
                <w:sz w:val="24"/>
                <w:szCs w:val="24"/>
              </w:rPr>
            </w:pPr>
            <w:r w:rsidRPr="004C1800">
              <w:rPr>
                <w:sz w:val="24"/>
                <w:szCs w:val="24"/>
              </w:rPr>
              <w:t>It is recommended that all business plans being submitted in conjunction with National Programme Applications contain the following:</w:t>
            </w:r>
          </w:p>
          <w:p w14:paraId="3EEC4831" w14:textId="77777777" w:rsidR="0038556F" w:rsidRPr="004C1800" w:rsidRDefault="0038556F" w:rsidP="0038556F">
            <w:pPr>
              <w:pStyle w:val="ListParagraph"/>
              <w:numPr>
                <w:ilvl w:val="0"/>
                <w:numId w:val="1"/>
              </w:numPr>
              <w:rPr>
                <w:sz w:val="24"/>
                <w:szCs w:val="24"/>
              </w:rPr>
            </w:pPr>
            <w:r w:rsidRPr="004C1800">
              <w:rPr>
                <w:sz w:val="24"/>
                <w:szCs w:val="24"/>
              </w:rPr>
              <w:t>An Event Overview including:</w:t>
            </w:r>
          </w:p>
          <w:p w14:paraId="099A5F7D" w14:textId="77777777" w:rsidR="0038556F" w:rsidRPr="004C1800" w:rsidRDefault="0038556F" w:rsidP="0038556F">
            <w:pPr>
              <w:pStyle w:val="ListParagraph"/>
              <w:numPr>
                <w:ilvl w:val="0"/>
                <w:numId w:val="2"/>
              </w:numPr>
              <w:rPr>
                <w:sz w:val="24"/>
                <w:szCs w:val="24"/>
              </w:rPr>
            </w:pPr>
            <w:r w:rsidRPr="004C1800">
              <w:rPr>
                <w:sz w:val="24"/>
                <w:szCs w:val="24"/>
              </w:rPr>
              <w:t>Vision and Mission Statement</w:t>
            </w:r>
          </w:p>
          <w:p w14:paraId="024DF02B" w14:textId="77777777" w:rsidR="0038556F" w:rsidRPr="004C1800" w:rsidRDefault="0038556F" w:rsidP="0038556F">
            <w:pPr>
              <w:pStyle w:val="ListParagraph"/>
              <w:numPr>
                <w:ilvl w:val="0"/>
                <w:numId w:val="2"/>
              </w:numPr>
              <w:rPr>
                <w:sz w:val="24"/>
                <w:szCs w:val="24"/>
              </w:rPr>
            </w:pPr>
            <w:r w:rsidRPr="004C1800">
              <w:rPr>
                <w:sz w:val="24"/>
                <w:szCs w:val="24"/>
              </w:rPr>
              <w:t>Key Outcomes/deliverables</w:t>
            </w:r>
          </w:p>
          <w:p w14:paraId="0303461D" w14:textId="77777777" w:rsidR="0038556F" w:rsidRPr="004C1800" w:rsidRDefault="0038556F" w:rsidP="0038556F">
            <w:pPr>
              <w:pStyle w:val="ListParagraph"/>
              <w:numPr>
                <w:ilvl w:val="0"/>
                <w:numId w:val="2"/>
              </w:numPr>
              <w:rPr>
                <w:sz w:val="24"/>
                <w:szCs w:val="24"/>
              </w:rPr>
            </w:pPr>
            <w:r w:rsidRPr="004C1800">
              <w:rPr>
                <w:sz w:val="24"/>
                <w:szCs w:val="24"/>
              </w:rPr>
              <w:t>The Event</w:t>
            </w:r>
          </w:p>
          <w:p w14:paraId="2FA58B9F" w14:textId="77777777" w:rsidR="0038556F" w:rsidRPr="004C1800" w:rsidRDefault="0038556F" w:rsidP="0038556F">
            <w:pPr>
              <w:pStyle w:val="ListParagraph"/>
              <w:numPr>
                <w:ilvl w:val="0"/>
                <w:numId w:val="2"/>
              </w:numPr>
              <w:rPr>
                <w:sz w:val="24"/>
                <w:szCs w:val="24"/>
              </w:rPr>
            </w:pPr>
            <w:r w:rsidRPr="004C1800">
              <w:rPr>
                <w:sz w:val="24"/>
                <w:szCs w:val="24"/>
              </w:rPr>
              <w:t>Target Market</w:t>
            </w:r>
          </w:p>
          <w:p w14:paraId="7CEA2F5D" w14:textId="77777777" w:rsidR="0038556F" w:rsidRPr="004C1800" w:rsidRDefault="0038556F" w:rsidP="0038556F">
            <w:pPr>
              <w:pStyle w:val="ListParagraph"/>
              <w:numPr>
                <w:ilvl w:val="0"/>
                <w:numId w:val="2"/>
              </w:numPr>
              <w:rPr>
                <w:sz w:val="24"/>
                <w:szCs w:val="24"/>
              </w:rPr>
            </w:pPr>
            <w:r w:rsidRPr="004C1800">
              <w:rPr>
                <w:sz w:val="24"/>
                <w:szCs w:val="24"/>
              </w:rPr>
              <w:t>Stakeholder involvement and benefits</w:t>
            </w:r>
          </w:p>
          <w:p w14:paraId="3F280ED4" w14:textId="77777777" w:rsidR="0038556F" w:rsidRPr="004C1800" w:rsidRDefault="0038556F" w:rsidP="0038556F">
            <w:pPr>
              <w:pStyle w:val="ListParagraph"/>
              <w:numPr>
                <w:ilvl w:val="0"/>
                <w:numId w:val="2"/>
              </w:numPr>
              <w:rPr>
                <w:sz w:val="24"/>
                <w:szCs w:val="24"/>
              </w:rPr>
            </w:pPr>
            <w:r w:rsidRPr="004C1800">
              <w:rPr>
                <w:sz w:val="24"/>
                <w:szCs w:val="24"/>
              </w:rPr>
              <w:t>Delivery mechanism</w:t>
            </w:r>
          </w:p>
          <w:p w14:paraId="7ECDA138" w14:textId="77777777" w:rsidR="0038556F" w:rsidRPr="004C1800" w:rsidRDefault="0038556F" w:rsidP="0038556F">
            <w:pPr>
              <w:pStyle w:val="ListParagraph"/>
              <w:numPr>
                <w:ilvl w:val="0"/>
                <w:numId w:val="3"/>
              </w:numPr>
              <w:rPr>
                <w:sz w:val="24"/>
                <w:szCs w:val="24"/>
              </w:rPr>
            </w:pPr>
            <w:r w:rsidRPr="004C1800">
              <w:rPr>
                <w:sz w:val="24"/>
                <w:szCs w:val="24"/>
              </w:rPr>
              <w:t>Development Plan including</w:t>
            </w:r>
          </w:p>
          <w:p w14:paraId="31AEE91D" w14:textId="77777777" w:rsidR="0038556F" w:rsidRPr="004C1800" w:rsidRDefault="0038556F" w:rsidP="0038556F">
            <w:pPr>
              <w:pStyle w:val="ListParagraph"/>
              <w:numPr>
                <w:ilvl w:val="0"/>
                <w:numId w:val="2"/>
              </w:numPr>
              <w:rPr>
                <w:sz w:val="24"/>
                <w:szCs w:val="24"/>
              </w:rPr>
            </w:pPr>
            <w:r w:rsidRPr="004C1800">
              <w:rPr>
                <w:sz w:val="24"/>
                <w:szCs w:val="24"/>
              </w:rPr>
              <w:t>Strategic Development</w:t>
            </w:r>
          </w:p>
          <w:p w14:paraId="1E31DC79" w14:textId="77777777" w:rsidR="0038556F" w:rsidRPr="004C1800" w:rsidRDefault="0038556F" w:rsidP="0038556F">
            <w:pPr>
              <w:pStyle w:val="ListParagraph"/>
              <w:numPr>
                <w:ilvl w:val="0"/>
                <w:numId w:val="2"/>
              </w:numPr>
              <w:rPr>
                <w:sz w:val="24"/>
                <w:szCs w:val="24"/>
              </w:rPr>
            </w:pPr>
            <w:r w:rsidRPr="004C1800">
              <w:rPr>
                <w:sz w:val="24"/>
                <w:szCs w:val="24"/>
              </w:rPr>
              <w:t>SWOT Analysis</w:t>
            </w:r>
          </w:p>
          <w:p w14:paraId="79E3C6C0" w14:textId="77777777" w:rsidR="0038556F" w:rsidRPr="004C1800" w:rsidRDefault="0038556F" w:rsidP="0038556F">
            <w:pPr>
              <w:pStyle w:val="ListParagraph"/>
              <w:numPr>
                <w:ilvl w:val="0"/>
                <w:numId w:val="3"/>
              </w:numPr>
              <w:rPr>
                <w:sz w:val="24"/>
                <w:szCs w:val="24"/>
              </w:rPr>
            </w:pPr>
            <w:r w:rsidRPr="004C1800">
              <w:rPr>
                <w:sz w:val="24"/>
                <w:szCs w:val="24"/>
              </w:rPr>
              <w:t>Financial Plan and Considerations</w:t>
            </w:r>
          </w:p>
          <w:p w14:paraId="324CA7D1" w14:textId="77777777" w:rsidR="0038556F" w:rsidRPr="004C1800" w:rsidRDefault="0038556F" w:rsidP="0038556F">
            <w:pPr>
              <w:pStyle w:val="ListParagraph"/>
              <w:numPr>
                <w:ilvl w:val="0"/>
                <w:numId w:val="2"/>
              </w:numPr>
              <w:rPr>
                <w:sz w:val="24"/>
                <w:szCs w:val="24"/>
              </w:rPr>
            </w:pPr>
            <w:r w:rsidRPr="004C1800">
              <w:rPr>
                <w:sz w:val="24"/>
                <w:szCs w:val="24"/>
              </w:rPr>
              <w:t>Income and Expenditure projections</w:t>
            </w:r>
          </w:p>
          <w:p w14:paraId="3368D909" w14:textId="68EA1999" w:rsidR="0038556F" w:rsidRPr="00BB74D7" w:rsidRDefault="0038556F" w:rsidP="003214D8">
            <w:pPr>
              <w:pStyle w:val="ListParagraph"/>
              <w:numPr>
                <w:ilvl w:val="0"/>
                <w:numId w:val="2"/>
              </w:numPr>
              <w:rPr>
                <w:sz w:val="24"/>
                <w:szCs w:val="24"/>
              </w:rPr>
            </w:pPr>
            <w:r w:rsidRPr="004C1800">
              <w:rPr>
                <w:sz w:val="24"/>
                <w:szCs w:val="24"/>
              </w:rPr>
              <w:t>Economic Impact Estimation</w:t>
            </w:r>
          </w:p>
          <w:p w14:paraId="585B0868" w14:textId="77777777" w:rsidR="0038556F" w:rsidRPr="004C1800" w:rsidRDefault="0038556F" w:rsidP="0038556F">
            <w:pPr>
              <w:pStyle w:val="ListParagraph"/>
              <w:rPr>
                <w:sz w:val="24"/>
                <w:szCs w:val="24"/>
              </w:rPr>
            </w:pPr>
            <w:r w:rsidRPr="004C1800">
              <w:rPr>
                <w:sz w:val="24"/>
                <w:szCs w:val="24"/>
              </w:rPr>
              <w:t>Key areas to be addressed in an event business plan include:</w:t>
            </w:r>
          </w:p>
          <w:p w14:paraId="375E6B54" w14:textId="77777777" w:rsidR="0038556F" w:rsidRPr="004C1800" w:rsidRDefault="0038556F" w:rsidP="0038556F">
            <w:pPr>
              <w:pStyle w:val="ListParagraph"/>
              <w:numPr>
                <w:ilvl w:val="0"/>
                <w:numId w:val="1"/>
              </w:numPr>
              <w:rPr>
                <w:sz w:val="24"/>
                <w:szCs w:val="24"/>
              </w:rPr>
            </w:pPr>
            <w:r w:rsidRPr="004C1800">
              <w:rPr>
                <w:sz w:val="24"/>
                <w:szCs w:val="24"/>
              </w:rPr>
              <w:t xml:space="preserve">The vision and mission – </w:t>
            </w:r>
            <w:r w:rsidRPr="004C1800">
              <w:rPr>
                <w:i/>
                <w:iCs/>
                <w:sz w:val="24"/>
                <w:szCs w:val="24"/>
              </w:rPr>
              <w:t xml:space="preserve">i.e. </w:t>
            </w:r>
            <w:r w:rsidRPr="004C1800">
              <w:rPr>
                <w:sz w:val="24"/>
                <w:szCs w:val="24"/>
              </w:rPr>
              <w:t>what it ultimately aims to achieve</w:t>
            </w:r>
          </w:p>
          <w:p w14:paraId="3C483E6C" w14:textId="77777777" w:rsidR="0038556F" w:rsidRPr="004C1800" w:rsidRDefault="0038556F" w:rsidP="0038556F">
            <w:pPr>
              <w:pStyle w:val="ListParagraph"/>
              <w:numPr>
                <w:ilvl w:val="0"/>
                <w:numId w:val="1"/>
              </w:numPr>
              <w:rPr>
                <w:sz w:val="24"/>
                <w:szCs w:val="24"/>
              </w:rPr>
            </w:pPr>
            <w:r w:rsidRPr="004C1800">
              <w:rPr>
                <w:sz w:val="24"/>
                <w:szCs w:val="24"/>
              </w:rPr>
              <w:t>Who the key stakeholders are, what benefits they will accrue and how the event fits with their strategies</w:t>
            </w:r>
          </w:p>
          <w:p w14:paraId="3A8F84F5" w14:textId="77777777" w:rsidR="0038556F" w:rsidRPr="004C1800" w:rsidRDefault="0038556F" w:rsidP="0038556F">
            <w:pPr>
              <w:pStyle w:val="ListParagraph"/>
              <w:numPr>
                <w:ilvl w:val="0"/>
                <w:numId w:val="1"/>
              </w:numPr>
              <w:rPr>
                <w:sz w:val="24"/>
                <w:szCs w:val="24"/>
              </w:rPr>
            </w:pPr>
            <w:r w:rsidRPr="004C1800">
              <w:rPr>
                <w:sz w:val="24"/>
                <w:szCs w:val="24"/>
              </w:rPr>
              <w:t>The relevant experience and track record of the organisers</w:t>
            </w:r>
          </w:p>
          <w:p w14:paraId="2EEC8F09" w14:textId="77777777" w:rsidR="0038556F" w:rsidRPr="004C1800" w:rsidRDefault="0038556F" w:rsidP="0038556F">
            <w:pPr>
              <w:pStyle w:val="ListParagraph"/>
              <w:numPr>
                <w:ilvl w:val="0"/>
                <w:numId w:val="1"/>
              </w:numPr>
              <w:rPr>
                <w:sz w:val="24"/>
                <w:szCs w:val="24"/>
              </w:rPr>
            </w:pPr>
            <w:r w:rsidRPr="004C1800">
              <w:rPr>
                <w:sz w:val="24"/>
                <w:szCs w:val="24"/>
              </w:rPr>
              <w:t>The event’s background and an overview of plans for the current year</w:t>
            </w:r>
          </w:p>
          <w:p w14:paraId="4438128D" w14:textId="77777777" w:rsidR="0038556F" w:rsidRPr="004C1800" w:rsidRDefault="0038556F" w:rsidP="0038556F">
            <w:pPr>
              <w:pStyle w:val="ListParagraph"/>
              <w:numPr>
                <w:ilvl w:val="0"/>
                <w:numId w:val="1"/>
              </w:numPr>
              <w:rPr>
                <w:sz w:val="24"/>
                <w:szCs w:val="24"/>
              </w:rPr>
            </w:pPr>
            <w:r w:rsidRPr="004C1800">
              <w:rPr>
                <w:sz w:val="24"/>
                <w:szCs w:val="24"/>
              </w:rPr>
              <w:t>The SWOT analysis (identify strengths, weaknesses, opportunities and threats)</w:t>
            </w:r>
          </w:p>
          <w:p w14:paraId="362C9399" w14:textId="77777777" w:rsidR="0038556F" w:rsidRPr="004C1800" w:rsidRDefault="0038556F" w:rsidP="0038556F">
            <w:pPr>
              <w:pStyle w:val="ListParagraph"/>
              <w:numPr>
                <w:ilvl w:val="0"/>
                <w:numId w:val="1"/>
              </w:numPr>
              <w:rPr>
                <w:sz w:val="24"/>
                <w:szCs w:val="24"/>
              </w:rPr>
            </w:pPr>
            <w:r w:rsidRPr="004C1800">
              <w:rPr>
                <w:sz w:val="24"/>
                <w:szCs w:val="24"/>
              </w:rPr>
              <w:t>Key objectives and achievement strategy for the current year</w:t>
            </w:r>
          </w:p>
          <w:p w14:paraId="67272F65" w14:textId="77777777" w:rsidR="0038556F" w:rsidRPr="004C1800" w:rsidRDefault="0038556F" w:rsidP="0038556F">
            <w:pPr>
              <w:pStyle w:val="ListParagraph"/>
              <w:numPr>
                <w:ilvl w:val="0"/>
                <w:numId w:val="1"/>
              </w:numPr>
              <w:rPr>
                <w:sz w:val="24"/>
                <w:szCs w:val="24"/>
              </w:rPr>
            </w:pPr>
            <w:r w:rsidRPr="004C1800">
              <w:rPr>
                <w:sz w:val="24"/>
                <w:szCs w:val="24"/>
              </w:rPr>
              <w:lastRenderedPageBreak/>
              <w:t>A development plan – how key aims and objectives will be realised going forward (beyond the current year)</w:t>
            </w:r>
          </w:p>
          <w:p w14:paraId="65521539" w14:textId="77777777" w:rsidR="0038556F" w:rsidRPr="004C1800" w:rsidRDefault="0038556F" w:rsidP="0038556F">
            <w:pPr>
              <w:pStyle w:val="ListParagraph"/>
              <w:numPr>
                <w:ilvl w:val="0"/>
                <w:numId w:val="1"/>
              </w:numPr>
              <w:rPr>
                <w:sz w:val="24"/>
                <w:szCs w:val="24"/>
              </w:rPr>
            </w:pPr>
            <w:r w:rsidRPr="004C1800">
              <w:rPr>
                <w:sz w:val="24"/>
                <w:szCs w:val="24"/>
              </w:rPr>
              <w:t>Marketing and communications planning</w:t>
            </w:r>
          </w:p>
          <w:p w14:paraId="19051C41" w14:textId="77E50481" w:rsidR="0038556F" w:rsidRPr="004C1800" w:rsidRDefault="0038556F" w:rsidP="0038556F">
            <w:pPr>
              <w:pStyle w:val="ListParagraph"/>
              <w:numPr>
                <w:ilvl w:val="0"/>
                <w:numId w:val="1"/>
              </w:numPr>
              <w:rPr>
                <w:sz w:val="24"/>
                <w:szCs w:val="24"/>
              </w:rPr>
            </w:pPr>
            <w:r w:rsidRPr="004C1800">
              <w:rPr>
                <w:sz w:val="24"/>
                <w:szCs w:val="24"/>
              </w:rPr>
              <w:t xml:space="preserve">Requirements – staffing structure, facilities, services, venues, </w:t>
            </w:r>
            <w:r w:rsidR="00F269CE" w:rsidRPr="004C1800">
              <w:rPr>
                <w:sz w:val="24"/>
                <w:szCs w:val="24"/>
              </w:rPr>
              <w:t>etc.</w:t>
            </w:r>
          </w:p>
          <w:p w14:paraId="74199658" w14:textId="77777777" w:rsidR="0038556F" w:rsidRPr="004C1800" w:rsidRDefault="0038556F" w:rsidP="0038556F">
            <w:pPr>
              <w:pStyle w:val="ListParagraph"/>
              <w:numPr>
                <w:ilvl w:val="0"/>
                <w:numId w:val="1"/>
              </w:numPr>
              <w:rPr>
                <w:sz w:val="24"/>
                <w:szCs w:val="24"/>
              </w:rPr>
            </w:pPr>
            <w:r w:rsidRPr="004C1800">
              <w:rPr>
                <w:sz w:val="24"/>
                <w:szCs w:val="24"/>
              </w:rPr>
              <w:t>How much the event will cost – budget projections over 3–5 year period?</w:t>
            </w:r>
          </w:p>
          <w:p w14:paraId="14A998AB" w14:textId="77777777" w:rsidR="0038556F" w:rsidRPr="004C1800" w:rsidRDefault="0038556F" w:rsidP="0038556F">
            <w:pPr>
              <w:pStyle w:val="ListParagraph"/>
              <w:numPr>
                <w:ilvl w:val="0"/>
                <w:numId w:val="1"/>
              </w:numPr>
              <w:rPr>
                <w:sz w:val="24"/>
                <w:szCs w:val="24"/>
              </w:rPr>
            </w:pPr>
            <w:r w:rsidRPr="004C1800">
              <w:rPr>
                <w:sz w:val="24"/>
                <w:szCs w:val="24"/>
              </w:rPr>
              <w:t>How will it be paid for – identifying income streams?</w:t>
            </w:r>
          </w:p>
          <w:p w14:paraId="4952A4C6" w14:textId="77777777" w:rsidR="0038556F" w:rsidRPr="004C1800" w:rsidRDefault="0038556F" w:rsidP="0038556F">
            <w:pPr>
              <w:pStyle w:val="ListParagraph"/>
              <w:numPr>
                <w:ilvl w:val="0"/>
                <w:numId w:val="1"/>
              </w:numPr>
              <w:rPr>
                <w:sz w:val="24"/>
                <w:szCs w:val="24"/>
              </w:rPr>
            </w:pPr>
            <w:r w:rsidRPr="004C1800">
              <w:rPr>
                <w:sz w:val="24"/>
                <w:szCs w:val="24"/>
              </w:rPr>
              <w:t>Management and business controls</w:t>
            </w:r>
          </w:p>
          <w:p w14:paraId="028812CE" w14:textId="77777777" w:rsidR="0038556F" w:rsidRPr="004C1800" w:rsidRDefault="0038556F" w:rsidP="0038556F">
            <w:pPr>
              <w:pStyle w:val="ListParagraph"/>
              <w:numPr>
                <w:ilvl w:val="0"/>
                <w:numId w:val="1"/>
              </w:numPr>
              <w:rPr>
                <w:sz w:val="24"/>
                <w:szCs w:val="24"/>
              </w:rPr>
            </w:pPr>
            <w:r w:rsidRPr="004C1800">
              <w:rPr>
                <w:sz w:val="24"/>
                <w:szCs w:val="24"/>
              </w:rPr>
              <w:t>Risk management and contingency plans</w:t>
            </w:r>
          </w:p>
          <w:p w14:paraId="511DC1B8" w14:textId="27EAC7B8" w:rsidR="0038556F" w:rsidRPr="002A1E96" w:rsidRDefault="0038556F" w:rsidP="003214D8">
            <w:pPr>
              <w:pStyle w:val="ListParagraph"/>
              <w:numPr>
                <w:ilvl w:val="0"/>
                <w:numId w:val="1"/>
              </w:numPr>
              <w:rPr>
                <w:sz w:val="24"/>
                <w:szCs w:val="24"/>
              </w:rPr>
            </w:pPr>
            <w:r w:rsidRPr="004C1800">
              <w:rPr>
                <w:sz w:val="24"/>
                <w:szCs w:val="24"/>
              </w:rPr>
              <w:t>Future considerations</w:t>
            </w:r>
          </w:p>
          <w:p w14:paraId="22792A98" w14:textId="42C4372C" w:rsidR="0038556F" w:rsidRPr="004C1800" w:rsidRDefault="0038556F" w:rsidP="0038556F">
            <w:pPr>
              <w:rPr>
                <w:sz w:val="24"/>
                <w:szCs w:val="24"/>
              </w:rPr>
            </w:pPr>
            <w:r w:rsidRPr="004C1800">
              <w:rPr>
                <w:sz w:val="24"/>
                <w:szCs w:val="24"/>
              </w:rPr>
              <w:t xml:space="preserve">For further information on creating your own event business plan please refer to </w:t>
            </w:r>
            <w:r w:rsidRPr="004C1800">
              <w:rPr>
                <w:i/>
                <w:sz w:val="24"/>
                <w:szCs w:val="24"/>
              </w:rPr>
              <w:t>Event Management: A Practical Guide</w:t>
            </w:r>
            <w:r w:rsidRPr="004C1800">
              <w:rPr>
                <w:sz w:val="24"/>
                <w:szCs w:val="24"/>
              </w:rPr>
              <w:t xml:space="preserve"> which can be found on the Funding and resources pages of the</w:t>
            </w:r>
            <w:r w:rsidR="00BB74D7">
              <w:rPr>
                <w:sz w:val="24"/>
                <w:szCs w:val="24"/>
                <w:lang w:eastAsia="ar-SA"/>
              </w:rPr>
              <w:t xml:space="preserve"> </w:t>
            </w:r>
            <w:r w:rsidRPr="006B6F43">
              <w:rPr>
                <w:sz w:val="24"/>
                <w:szCs w:val="24"/>
                <w:lang w:eastAsia="ar-SA"/>
              </w:rPr>
              <w:t xml:space="preserve">Event Business Plan Template, Adapted from EventScotland website: </w:t>
            </w:r>
            <w:hyperlink r:id="rId7" w:history="1">
              <w:r w:rsidRPr="006B6F43">
                <w:rPr>
                  <w:rStyle w:val="Hyperlink"/>
                  <w:sz w:val="24"/>
                  <w:szCs w:val="24"/>
                  <w:lang w:eastAsia="ar-SA"/>
                </w:rPr>
                <w:t>http://www.eventscotland.org/funding-and-resources</w:t>
              </w:r>
            </w:hyperlink>
          </w:p>
        </w:tc>
      </w:tr>
    </w:tbl>
    <w:p w14:paraId="280D429A" w14:textId="77777777" w:rsidR="0038556F" w:rsidRPr="004C1800" w:rsidRDefault="0038556F" w:rsidP="0038556F"/>
    <w:p w14:paraId="1FC0E072" w14:textId="77777777" w:rsidR="0038556F" w:rsidRPr="006B6F43" w:rsidRDefault="0038556F" w:rsidP="0038556F">
      <w:pPr>
        <w:rPr>
          <w:i/>
          <w:iCs/>
          <w:lang w:eastAsia="ar-SA"/>
        </w:rPr>
      </w:pPr>
      <w:r w:rsidRPr="006B6F43">
        <w:rPr>
          <w:i/>
          <w:iCs/>
        </w:rPr>
        <w:t xml:space="preserve">Table 7.2: </w:t>
      </w:r>
      <w:r w:rsidRPr="006B6F43">
        <w:rPr>
          <w:i/>
          <w:iCs/>
          <w:lang w:eastAsia="ar-SA"/>
        </w:rPr>
        <w:t>Various agency charge-out structures</w:t>
      </w:r>
    </w:p>
    <w:tbl>
      <w:tblPr>
        <w:tblStyle w:val="TableGrid"/>
        <w:tblW w:w="5000" w:type="pct"/>
        <w:tblLook w:val="04A0" w:firstRow="1" w:lastRow="0" w:firstColumn="1" w:lastColumn="0" w:noHBand="0" w:noVBand="1"/>
      </w:tblPr>
      <w:tblGrid>
        <w:gridCol w:w="4654"/>
        <w:gridCol w:w="4588"/>
      </w:tblGrid>
      <w:tr w:rsidR="0038556F" w:rsidRPr="004C1800" w14:paraId="55CA056E" w14:textId="77777777" w:rsidTr="003214D8">
        <w:trPr>
          <w:trHeight w:val="400"/>
        </w:trPr>
        <w:tc>
          <w:tcPr>
            <w:tcW w:w="2518" w:type="pct"/>
            <w:tcBorders>
              <w:top w:val="single" w:sz="4" w:space="0" w:color="auto"/>
              <w:left w:val="single" w:sz="4" w:space="0" w:color="auto"/>
              <w:bottom w:val="single" w:sz="4" w:space="0" w:color="auto"/>
              <w:right w:val="single" w:sz="4" w:space="0" w:color="auto"/>
            </w:tcBorders>
            <w:hideMark/>
          </w:tcPr>
          <w:p w14:paraId="456F285E" w14:textId="77777777" w:rsidR="0038556F" w:rsidRPr="006B6F43" w:rsidRDefault="0038556F" w:rsidP="0038556F">
            <w:pPr>
              <w:rPr>
                <w:b/>
                <w:bCs/>
                <w:i/>
                <w:sz w:val="24"/>
                <w:szCs w:val="24"/>
                <w:lang w:eastAsia="ar-SA"/>
              </w:rPr>
            </w:pPr>
            <w:r w:rsidRPr="006B6F43">
              <w:rPr>
                <w:b/>
                <w:bCs/>
                <w:i/>
                <w:sz w:val="24"/>
                <w:szCs w:val="24"/>
                <w:lang w:eastAsia="ar-SA"/>
              </w:rPr>
              <w:t>Flat project fee</w:t>
            </w:r>
          </w:p>
        </w:tc>
        <w:tc>
          <w:tcPr>
            <w:tcW w:w="2482" w:type="pct"/>
            <w:tcBorders>
              <w:top w:val="single" w:sz="4" w:space="0" w:color="auto"/>
              <w:left w:val="single" w:sz="4" w:space="0" w:color="auto"/>
              <w:bottom w:val="single" w:sz="4" w:space="0" w:color="auto"/>
              <w:right w:val="single" w:sz="4" w:space="0" w:color="auto"/>
            </w:tcBorders>
            <w:hideMark/>
          </w:tcPr>
          <w:p w14:paraId="546C6568" w14:textId="77777777" w:rsidR="0038556F" w:rsidRPr="004C1800" w:rsidRDefault="0038556F" w:rsidP="0038556F">
            <w:pPr>
              <w:pStyle w:val="NoSpacing"/>
              <w:numPr>
                <w:ilvl w:val="0"/>
                <w:numId w:val="4"/>
              </w:numPr>
              <w:spacing w:line="360" w:lineRule="auto"/>
              <w:ind w:left="397"/>
              <w:rPr>
                <w:rFonts w:ascii="Times New Roman" w:hAnsi="Times New Roman" w:cs="Times New Roman"/>
                <w:sz w:val="24"/>
                <w:szCs w:val="24"/>
                <w:lang w:eastAsia="ar-SA"/>
              </w:rPr>
            </w:pPr>
            <w:r w:rsidRPr="004C1800">
              <w:rPr>
                <w:rFonts w:ascii="Times New Roman" w:hAnsi="Times New Roman" w:cs="Times New Roman"/>
                <w:sz w:val="24"/>
                <w:szCs w:val="24"/>
                <w:lang w:eastAsia="ar-SA"/>
              </w:rPr>
              <w:t>Flat project fees are typically used for packaged events and may be calculated on a per person basis with various stipulations.</w:t>
            </w:r>
          </w:p>
          <w:p w14:paraId="5D7B16A7" w14:textId="77777777" w:rsidR="0038556F" w:rsidRPr="004C1800" w:rsidRDefault="0038556F" w:rsidP="0038556F">
            <w:pPr>
              <w:pStyle w:val="NoSpacing"/>
              <w:numPr>
                <w:ilvl w:val="0"/>
                <w:numId w:val="4"/>
              </w:numPr>
              <w:spacing w:line="360" w:lineRule="auto"/>
              <w:ind w:left="397"/>
              <w:rPr>
                <w:rFonts w:ascii="Times New Roman" w:hAnsi="Times New Roman" w:cs="Times New Roman"/>
                <w:sz w:val="24"/>
                <w:szCs w:val="24"/>
                <w:lang w:eastAsia="ar-SA"/>
              </w:rPr>
            </w:pPr>
            <w:r w:rsidRPr="004C1800">
              <w:rPr>
                <w:rFonts w:ascii="Times New Roman" w:hAnsi="Times New Roman" w:cs="Times New Roman"/>
                <w:sz w:val="24"/>
                <w:szCs w:val="24"/>
                <w:lang w:eastAsia="ar-SA"/>
              </w:rPr>
              <w:t>It is the responsibility of the event planner to negotiate rates, calculate the cost of all services and quote a combined total amount, including the time it will take to manage the project from start to completion.</w:t>
            </w:r>
          </w:p>
          <w:p w14:paraId="5620F6A2" w14:textId="7C857822" w:rsidR="0038556F" w:rsidRPr="004C1800" w:rsidRDefault="0038556F" w:rsidP="0038556F">
            <w:pPr>
              <w:pStyle w:val="NoSpacing"/>
              <w:numPr>
                <w:ilvl w:val="0"/>
                <w:numId w:val="4"/>
              </w:numPr>
              <w:spacing w:line="360" w:lineRule="auto"/>
              <w:ind w:left="397"/>
              <w:rPr>
                <w:rFonts w:ascii="Times New Roman" w:hAnsi="Times New Roman" w:cs="Times New Roman"/>
                <w:sz w:val="24"/>
                <w:szCs w:val="24"/>
                <w:lang w:eastAsia="ar-SA"/>
              </w:rPr>
            </w:pPr>
            <w:r w:rsidRPr="004C1800">
              <w:rPr>
                <w:rFonts w:ascii="Times New Roman" w:hAnsi="Times New Roman" w:cs="Times New Roman"/>
                <w:sz w:val="24"/>
                <w:szCs w:val="24"/>
                <w:lang w:eastAsia="ar-SA"/>
              </w:rPr>
              <w:t>The planner’s role extends to responsibility for all service agreements, identifying all required deposits and the payment of all services to third-party suppliers and vendors.</w:t>
            </w:r>
          </w:p>
          <w:p w14:paraId="49A28941" w14:textId="77777777" w:rsidR="0038556F" w:rsidRPr="004C1800" w:rsidRDefault="0038556F" w:rsidP="0038556F">
            <w:pPr>
              <w:pStyle w:val="NoSpacing"/>
              <w:numPr>
                <w:ilvl w:val="0"/>
                <w:numId w:val="4"/>
              </w:numPr>
              <w:spacing w:line="360" w:lineRule="auto"/>
              <w:ind w:left="397"/>
              <w:rPr>
                <w:rFonts w:ascii="Times New Roman" w:hAnsi="Times New Roman" w:cs="Times New Roman"/>
                <w:sz w:val="24"/>
                <w:szCs w:val="24"/>
                <w:lang w:eastAsia="ar-SA"/>
              </w:rPr>
            </w:pPr>
            <w:r w:rsidRPr="004C1800">
              <w:rPr>
                <w:rFonts w:ascii="Times New Roman" w:hAnsi="Times New Roman" w:cs="Times New Roman"/>
                <w:sz w:val="24"/>
                <w:szCs w:val="24"/>
                <w:lang w:eastAsia="ar-SA"/>
              </w:rPr>
              <w:lastRenderedPageBreak/>
              <w:t>The fee is usually presented at the end of the budget and might be expressed as:</w:t>
            </w:r>
          </w:p>
          <w:p w14:paraId="7B786BBC" w14:textId="275EB8CC" w:rsidR="0038556F" w:rsidRPr="004C1800" w:rsidRDefault="0038556F" w:rsidP="0038556F">
            <w:pPr>
              <w:rPr>
                <w:b/>
                <w:i/>
                <w:sz w:val="24"/>
                <w:szCs w:val="24"/>
                <w:lang w:eastAsia="ar-SA"/>
              </w:rPr>
            </w:pPr>
            <w:r w:rsidRPr="004C1800">
              <w:rPr>
                <w:b/>
                <w:i/>
                <w:iCs/>
                <w:sz w:val="24"/>
                <w:szCs w:val="24"/>
                <w:lang w:eastAsia="ar-SA"/>
              </w:rPr>
              <w:t>Total cost for event management based on the programme , numbers</w:t>
            </w:r>
            <w:r w:rsidR="00F2034D">
              <w:rPr>
                <w:b/>
                <w:i/>
                <w:iCs/>
                <w:sz w:val="24"/>
                <w:szCs w:val="24"/>
                <w:lang w:eastAsia="ar-SA"/>
              </w:rPr>
              <w:t xml:space="preserve"> </w:t>
            </w:r>
            <w:r w:rsidRPr="004C1800">
              <w:rPr>
                <w:b/>
                <w:i/>
                <w:iCs/>
                <w:sz w:val="24"/>
                <w:szCs w:val="24"/>
                <w:lang w:eastAsia="ar-SA"/>
              </w:rPr>
              <w:t>detailed: £7,000</w:t>
            </w:r>
            <w:r w:rsidRPr="004C1800">
              <w:rPr>
                <w:b/>
                <w:i/>
                <w:sz w:val="24"/>
                <w:szCs w:val="24"/>
                <w:lang w:eastAsia="ar-SA"/>
              </w:rPr>
              <w:t xml:space="preserve"> </w:t>
            </w:r>
          </w:p>
        </w:tc>
      </w:tr>
      <w:tr w:rsidR="0038556F" w:rsidRPr="004C1800" w14:paraId="3C0AA426" w14:textId="77777777" w:rsidTr="003214D8">
        <w:tc>
          <w:tcPr>
            <w:tcW w:w="2518" w:type="pct"/>
            <w:tcBorders>
              <w:top w:val="single" w:sz="4" w:space="0" w:color="auto"/>
              <w:left w:val="single" w:sz="4" w:space="0" w:color="auto"/>
              <w:bottom w:val="single" w:sz="4" w:space="0" w:color="auto"/>
              <w:right w:val="single" w:sz="4" w:space="0" w:color="auto"/>
            </w:tcBorders>
            <w:hideMark/>
          </w:tcPr>
          <w:p w14:paraId="423F29CC" w14:textId="77777777" w:rsidR="0038556F" w:rsidRPr="006B6F43" w:rsidRDefault="0038556F" w:rsidP="0038556F">
            <w:pPr>
              <w:rPr>
                <w:b/>
                <w:bCs/>
                <w:i/>
                <w:sz w:val="24"/>
                <w:szCs w:val="24"/>
                <w:lang w:eastAsia="ar-SA"/>
              </w:rPr>
            </w:pPr>
            <w:r w:rsidRPr="006B6F43">
              <w:rPr>
                <w:b/>
                <w:bCs/>
                <w:i/>
                <w:sz w:val="24"/>
                <w:szCs w:val="24"/>
                <w:lang w:eastAsia="ar-SA"/>
              </w:rPr>
              <w:lastRenderedPageBreak/>
              <w:t>Percentage of expenses</w:t>
            </w:r>
          </w:p>
        </w:tc>
        <w:tc>
          <w:tcPr>
            <w:tcW w:w="2482" w:type="pct"/>
            <w:tcBorders>
              <w:top w:val="single" w:sz="4" w:space="0" w:color="auto"/>
              <w:left w:val="single" w:sz="4" w:space="0" w:color="auto"/>
              <w:bottom w:val="single" w:sz="4" w:space="0" w:color="auto"/>
              <w:right w:val="single" w:sz="4" w:space="0" w:color="auto"/>
            </w:tcBorders>
            <w:hideMark/>
          </w:tcPr>
          <w:p w14:paraId="0C3352FA" w14:textId="77E43B1B" w:rsidR="0038556F" w:rsidRPr="004C1800" w:rsidRDefault="0038556F" w:rsidP="0038556F">
            <w:pPr>
              <w:pStyle w:val="ListParagraph"/>
              <w:numPr>
                <w:ilvl w:val="0"/>
                <w:numId w:val="5"/>
              </w:numPr>
              <w:ind w:left="454"/>
              <w:rPr>
                <w:sz w:val="24"/>
                <w:szCs w:val="24"/>
                <w:lang w:eastAsia="ar-SA"/>
              </w:rPr>
            </w:pPr>
            <w:r w:rsidRPr="004C1800">
              <w:rPr>
                <w:sz w:val="24"/>
                <w:szCs w:val="24"/>
                <w:lang w:eastAsia="ar-SA"/>
              </w:rPr>
              <w:t>Most qualified planners levy a charge of between 15-20% of the total cost of an event as part of their fee.</w:t>
            </w:r>
          </w:p>
          <w:p w14:paraId="2802E876" w14:textId="09BC6237" w:rsidR="0038556F" w:rsidRPr="004C1800" w:rsidRDefault="0038556F" w:rsidP="0038556F">
            <w:pPr>
              <w:pStyle w:val="ListParagraph"/>
              <w:numPr>
                <w:ilvl w:val="0"/>
                <w:numId w:val="5"/>
              </w:numPr>
              <w:ind w:left="454"/>
              <w:rPr>
                <w:sz w:val="24"/>
                <w:szCs w:val="24"/>
                <w:lang w:eastAsia="ar-SA"/>
              </w:rPr>
            </w:pPr>
            <w:r w:rsidRPr="004C1800">
              <w:rPr>
                <w:sz w:val="24"/>
                <w:szCs w:val="24"/>
                <w:lang w:eastAsia="ar-SA"/>
              </w:rPr>
              <w:t>This can vary depending on the complexity of the programme and amount of time it takes to plan and execute.</w:t>
            </w:r>
          </w:p>
          <w:p w14:paraId="129CADB8" w14:textId="77777777" w:rsidR="0038556F" w:rsidRPr="004C1800" w:rsidRDefault="0038556F" w:rsidP="0038556F">
            <w:pPr>
              <w:pStyle w:val="ListParagraph"/>
              <w:numPr>
                <w:ilvl w:val="0"/>
                <w:numId w:val="5"/>
              </w:numPr>
              <w:ind w:left="454"/>
              <w:rPr>
                <w:sz w:val="24"/>
                <w:szCs w:val="24"/>
                <w:lang w:eastAsia="ar-SA"/>
              </w:rPr>
            </w:pPr>
            <w:r w:rsidRPr="004C1800">
              <w:rPr>
                <w:sz w:val="24"/>
                <w:szCs w:val="24"/>
                <w:lang w:eastAsia="ar-SA"/>
              </w:rPr>
              <w:t>The fee should be sufficient to cover the costs of the organiser and allow them to make a profit for the work undertaken.</w:t>
            </w:r>
          </w:p>
          <w:p w14:paraId="1FC11DD3" w14:textId="1B107E92" w:rsidR="0038556F" w:rsidRPr="004C1800" w:rsidRDefault="0038556F" w:rsidP="0038556F">
            <w:pPr>
              <w:pStyle w:val="ListParagraph"/>
              <w:numPr>
                <w:ilvl w:val="0"/>
                <w:numId w:val="5"/>
              </w:numPr>
              <w:ind w:left="454"/>
              <w:rPr>
                <w:sz w:val="24"/>
                <w:szCs w:val="24"/>
                <w:lang w:eastAsia="ar-SA"/>
              </w:rPr>
            </w:pPr>
            <w:r w:rsidRPr="004C1800">
              <w:rPr>
                <w:sz w:val="24"/>
                <w:szCs w:val="24"/>
                <w:lang w:eastAsia="ar-SA"/>
              </w:rPr>
              <w:t xml:space="preserve">If the planner’s normal daily charge our rate based on 8 </w:t>
            </w:r>
            <w:r w:rsidR="00F269CE" w:rsidRPr="004C1800">
              <w:rPr>
                <w:sz w:val="24"/>
                <w:szCs w:val="24"/>
                <w:lang w:eastAsia="ar-SA"/>
              </w:rPr>
              <w:t>hours’</w:t>
            </w:r>
            <w:r w:rsidRPr="004C1800">
              <w:rPr>
                <w:sz w:val="24"/>
                <w:szCs w:val="24"/>
                <w:lang w:eastAsia="ar-SA"/>
              </w:rPr>
              <w:t xml:space="preserve"> work was £250.00, they might be making a small loss, so may look to increase the percentage rate to 20% to cover their time.</w:t>
            </w:r>
          </w:p>
          <w:p w14:paraId="4EA1E10C" w14:textId="0AC3478C" w:rsidR="0038556F" w:rsidRPr="004C1800" w:rsidRDefault="0038556F" w:rsidP="0038556F">
            <w:pPr>
              <w:pStyle w:val="ListParagraph"/>
              <w:numPr>
                <w:ilvl w:val="0"/>
                <w:numId w:val="5"/>
              </w:numPr>
              <w:ind w:left="454"/>
              <w:rPr>
                <w:sz w:val="24"/>
                <w:szCs w:val="24"/>
                <w:lang w:eastAsia="ar-SA"/>
              </w:rPr>
            </w:pPr>
            <w:r w:rsidRPr="004C1800">
              <w:rPr>
                <w:sz w:val="24"/>
                <w:szCs w:val="24"/>
                <w:lang w:eastAsia="ar-SA"/>
              </w:rPr>
              <w:t>For example:- to organise a small meeting at a hotel for 50 guests, at a per head delegate cost of £80.00 per person the estimated time to meet with the client, plan a organise all arrangements,</w:t>
            </w:r>
            <w:r w:rsidR="00F2034D">
              <w:rPr>
                <w:sz w:val="24"/>
                <w:szCs w:val="24"/>
                <w:lang w:eastAsia="ar-SA"/>
              </w:rPr>
              <w:t xml:space="preserve"> </w:t>
            </w:r>
            <w:r w:rsidRPr="004C1800">
              <w:rPr>
                <w:sz w:val="24"/>
                <w:szCs w:val="24"/>
                <w:lang w:eastAsia="ar-SA"/>
              </w:rPr>
              <w:t>attend the event and complete the evaluation and financial reconciliation afterwards might be estimated to take 25 hours, so at a percentage rate of</w:t>
            </w:r>
            <w:r w:rsidR="00F2034D">
              <w:rPr>
                <w:sz w:val="24"/>
                <w:szCs w:val="24"/>
                <w:lang w:eastAsia="ar-SA"/>
              </w:rPr>
              <w:t xml:space="preserve"> </w:t>
            </w:r>
            <w:r w:rsidRPr="004C1800">
              <w:rPr>
                <w:sz w:val="24"/>
                <w:szCs w:val="24"/>
                <w:lang w:eastAsia="ar-SA"/>
              </w:rPr>
              <w:t>18% the calculation would be:</w:t>
            </w:r>
          </w:p>
          <w:p w14:paraId="33436872" w14:textId="77777777" w:rsidR="0038556F" w:rsidRPr="004C1800" w:rsidRDefault="0038556F" w:rsidP="0038556F">
            <w:pPr>
              <w:rPr>
                <w:b/>
                <w:i/>
                <w:iCs/>
                <w:sz w:val="24"/>
                <w:szCs w:val="24"/>
                <w:lang w:eastAsia="ar-SA"/>
              </w:rPr>
            </w:pPr>
            <w:r w:rsidRPr="004C1800">
              <w:rPr>
                <w:b/>
                <w:i/>
                <w:iCs/>
                <w:sz w:val="24"/>
                <w:szCs w:val="24"/>
                <w:lang w:eastAsia="ar-SA"/>
              </w:rPr>
              <w:lastRenderedPageBreak/>
              <w:t>Total fee cost calculated as: £80.00 x 50 delegates = £4,000 x 18% = £720.00</w:t>
            </w:r>
          </w:p>
        </w:tc>
      </w:tr>
      <w:tr w:rsidR="0038556F" w:rsidRPr="004C1800" w14:paraId="0A89E590" w14:textId="77777777" w:rsidTr="003214D8">
        <w:tc>
          <w:tcPr>
            <w:tcW w:w="2518" w:type="pct"/>
            <w:tcBorders>
              <w:top w:val="single" w:sz="4" w:space="0" w:color="auto"/>
              <w:left w:val="single" w:sz="4" w:space="0" w:color="auto"/>
              <w:bottom w:val="single" w:sz="4" w:space="0" w:color="auto"/>
              <w:right w:val="single" w:sz="4" w:space="0" w:color="auto"/>
            </w:tcBorders>
            <w:hideMark/>
          </w:tcPr>
          <w:p w14:paraId="7F480B42" w14:textId="77777777" w:rsidR="0038556F" w:rsidRPr="006B6F43" w:rsidRDefault="0038556F" w:rsidP="0038556F">
            <w:pPr>
              <w:rPr>
                <w:b/>
                <w:bCs/>
                <w:i/>
                <w:sz w:val="24"/>
                <w:szCs w:val="24"/>
                <w:lang w:eastAsia="ar-SA"/>
              </w:rPr>
            </w:pPr>
            <w:r w:rsidRPr="006B6F43">
              <w:rPr>
                <w:b/>
                <w:bCs/>
                <w:i/>
                <w:sz w:val="24"/>
                <w:szCs w:val="24"/>
                <w:lang w:eastAsia="ar-SA"/>
              </w:rPr>
              <w:lastRenderedPageBreak/>
              <w:t>Hourly rate</w:t>
            </w:r>
          </w:p>
        </w:tc>
        <w:tc>
          <w:tcPr>
            <w:tcW w:w="2482" w:type="pct"/>
            <w:tcBorders>
              <w:top w:val="single" w:sz="4" w:space="0" w:color="auto"/>
              <w:left w:val="single" w:sz="4" w:space="0" w:color="auto"/>
              <w:bottom w:val="single" w:sz="4" w:space="0" w:color="auto"/>
              <w:right w:val="single" w:sz="4" w:space="0" w:color="auto"/>
            </w:tcBorders>
            <w:hideMark/>
          </w:tcPr>
          <w:p w14:paraId="09E4F1CB" w14:textId="77777777" w:rsidR="0038556F" w:rsidRPr="004C1800" w:rsidRDefault="0038556F" w:rsidP="0038556F">
            <w:pPr>
              <w:pStyle w:val="ListParagraph"/>
              <w:numPr>
                <w:ilvl w:val="0"/>
                <w:numId w:val="6"/>
              </w:numPr>
              <w:ind w:left="510"/>
              <w:rPr>
                <w:sz w:val="24"/>
                <w:szCs w:val="24"/>
                <w:lang w:eastAsia="ar-SA"/>
              </w:rPr>
            </w:pPr>
            <w:r w:rsidRPr="004C1800">
              <w:rPr>
                <w:sz w:val="24"/>
                <w:szCs w:val="24"/>
                <w:lang w:eastAsia="ar-SA"/>
              </w:rPr>
              <w:t>Similar to a flat project rate, but an hourly rate allows for more flexibility on the part of both parties to adjust to changes that may be needed along the way.</w:t>
            </w:r>
          </w:p>
          <w:p w14:paraId="2F1CB451" w14:textId="009C7A03" w:rsidR="0038556F" w:rsidRPr="004C1800" w:rsidRDefault="0038556F" w:rsidP="0038556F">
            <w:pPr>
              <w:pStyle w:val="ListParagraph"/>
              <w:numPr>
                <w:ilvl w:val="0"/>
                <w:numId w:val="6"/>
              </w:numPr>
              <w:ind w:left="510"/>
              <w:rPr>
                <w:sz w:val="24"/>
                <w:szCs w:val="24"/>
                <w:lang w:eastAsia="ar-SA"/>
              </w:rPr>
            </w:pPr>
            <w:r w:rsidRPr="004C1800">
              <w:rPr>
                <w:sz w:val="24"/>
                <w:szCs w:val="24"/>
                <w:lang w:eastAsia="ar-SA"/>
              </w:rPr>
              <w:t>Many business planners will bill hourly for their management services, like any other consultancy, but will need to also pay for all additional items of expenditure, either through the agency or direct.</w:t>
            </w:r>
          </w:p>
          <w:p w14:paraId="7B3E4A69" w14:textId="6BE80869" w:rsidR="0038556F" w:rsidRPr="004C1800" w:rsidRDefault="0038556F" w:rsidP="0038556F">
            <w:pPr>
              <w:pStyle w:val="ListParagraph"/>
              <w:numPr>
                <w:ilvl w:val="0"/>
                <w:numId w:val="6"/>
              </w:numPr>
              <w:ind w:left="510"/>
              <w:rPr>
                <w:sz w:val="24"/>
                <w:szCs w:val="24"/>
                <w:lang w:eastAsia="ar-SA"/>
              </w:rPr>
            </w:pPr>
            <w:r w:rsidRPr="004C1800">
              <w:rPr>
                <w:sz w:val="24"/>
                <w:szCs w:val="24"/>
                <w:lang w:eastAsia="ar-SA"/>
              </w:rPr>
              <w:t>The hourly charge our rates of event planners may vary substantially according the complexity of the tasks required, their specific skills, expertise or creativity.</w:t>
            </w:r>
          </w:p>
          <w:p w14:paraId="1FB986D2" w14:textId="77777777" w:rsidR="0038556F" w:rsidRPr="004C1800" w:rsidRDefault="0038556F" w:rsidP="0038556F">
            <w:pPr>
              <w:pStyle w:val="ListParagraph"/>
              <w:numPr>
                <w:ilvl w:val="0"/>
                <w:numId w:val="6"/>
              </w:numPr>
              <w:ind w:left="510"/>
              <w:rPr>
                <w:sz w:val="24"/>
                <w:szCs w:val="24"/>
                <w:lang w:eastAsia="ar-SA"/>
              </w:rPr>
            </w:pPr>
            <w:r w:rsidRPr="004C1800">
              <w:rPr>
                <w:sz w:val="24"/>
                <w:szCs w:val="24"/>
                <w:lang w:eastAsia="ar-SA"/>
              </w:rPr>
              <w:t>This fee structure is the one most often preferred by corporate procurement divisions.</w:t>
            </w:r>
          </w:p>
          <w:p w14:paraId="678593F4" w14:textId="3805C67E" w:rsidR="0038556F" w:rsidRPr="004C1800" w:rsidRDefault="0038556F" w:rsidP="0038556F">
            <w:pPr>
              <w:rPr>
                <w:b/>
                <w:i/>
                <w:iCs/>
                <w:sz w:val="24"/>
                <w:szCs w:val="24"/>
                <w:lang w:eastAsia="ar-SA"/>
              </w:rPr>
            </w:pPr>
            <w:r w:rsidRPr="004C1800">
              <w:rPr>
                <w:b/>
                <w:i/>
                <w:iCs/>
                <w:sz w:val="24"/>
                <w:szCs w:val="24"/>
                <w:lang w:eastAsia="ar-SA"/>
              </w:rPr>
              <w:t xml:space="preserve">Event Manager hourly charge our rate @ £50.00 based on estimated 25 </w:t>
            </w:r>
            <w:r w:rsidR="00F269CE" w:rsidRPr="004C1800">
              <w:rPr>
                <w:b/>
                <w:i/>
                <w:iCs/>
                <w:sz w:val="24"/>
                <w:szCs w:val="24"/>
                <w:lang w:eastAsia="ar-SA"/>
              </w:rPr>
              <w:t>hours’</w:t>
            </w:r>
            <w:r w:rsidRPr="004C1800">
              <w:rPr>
                <w:b/>
                <w:i/>
                <w:iCs/>
                <w:sz w:val="24"/>
                <w:szCs w:val="24"/>
                <w:lang w:eastAsia="ar-SA"/>
              </w:rPr>
              <w:t xml:space="preserve"> work =</w:t>
            </w:r>
            <w:r w:rsidR="007C2A53">
              <w:rPr>
                <w:b/>
                <w:i/>
                <w:iCs/>
                <w:sz w:val="24"/>
                <w:szCs w:val="24"/>
                <w:lang w:eastAsia="ar-SA"/>
              </w:rPr>
              <w:t xml:space="preserve"> </w:t>
            </w:r>
            <w:r w:rsidRPr="004C1800">
              <w:rPr>
                <w:b/>
                <w:i/>
                <w:iCs/>
                <w:sz w:val="24"/>
                <w:szCs w:val="24"/>
                <w:lang w:eastAsia="ar-SA"/>
              </w:rPr>
              <w:t>£ 1250.00</w:t>
            </w:r>
          </w:p>
        </w:tc>
      </w:tr>
      <w:tr w:rsidR="0038556F" w:rsidRPr="004C1800" w14:paraId="601C96A6" w14:textId="77777777" w:rsidTr="003214D8">
        <w:tc>
          <w:tcPr>
            <w:tcW w:w="2518" w:type="pct"/>
            <w:tcBorders>
              <w:top w:val="single" w:sz="4" w:space="0" w:color="auto"/>
              <w:left w:val="single" w:sz="4" w:space="0" w:color="auto"/>
              <w:bottom w:val="single" w:sz="4" w:space="0" w:color="auto"/>
              <w:right w:val="single" w:sz="4" w:space="0" w:color="auto"/>
            </w:tcBorders>
            <w:hideMark/>
          </w:tcPr>
          <w:p w14:paraId="67388AB2" w14:textId="77777777" w:rsidR="0038556F" w:rsidRPr="006B6F43" w:rsidRDefault="0038556F" w:rsidP="0038556F">
            <w:pPr>
              <w:rPr>
                <w:b/>
                <w:bCs/>
                <w:i/>
                <w:sz w:val="24"/>
                <w:szCs w:val="24"/>
                <w:lang w:eastAsia="ar-SA"/>
              </w:rPr>
            </w:pPr>
            <w:r w:rsidRPr="006B6F43">
              <w:rPr>
                <w:b/>
                <w:bCs/>
                <w:i/>
                <w:sz w:val="24"/>
                <w:szCs w:val="24"/>
                <w:lang w:eastAsia="ar-SA"/>
              </w:rPr>
              <w:t>Commissionable rates</w:t>
            </w:r>
          </w:p>
        </w:tc>
        <w:tc>
          <w:tcPr>
            <w:tcW w:w="2482" w:type="pct"/>
            <w:tcBorders>
              <w:top w:val="single" w:sz="4" w:space="0" w:color="auto"/>
              <w:left w:val="single" w:sz="4" w:space="0" w:color="auto"/>
              <w:bottom w:val="single" w:sz="4" w:space="0" w:color="auto"/>
              <w:right w:val="single" w:sz="4" w:space="0" w:color="auto"/>
            </w:tcBorders>
            <w:hideMark/>
          </w:tcPr>
          <w:p w14:paraId="7F2DB024" w14:textId="77777777" w:rsidR="0038556F" w:rsidRPr="004C1800" w:rsidRDefault="0038556F" w:rsidP="0038556F">
            <w:pPr>
              <w:pStyle w:val="ListParagraph"/>
              <w:numPr>
                <w:ilvl w:val="0"/>
                <w:numId w:val="7"/>
              </w:numPr>
              <w:ind w:left="567"/>
              <w:rPr>
                <w:sz w:val="24"/>
                <w:szCs w:val="24"/>
                <w:lang w:eastAsia="ar-SA"/>
              </w:rPr>
            </w:pPr>
            <w:r w:rsidRPr="004C1800">
              <w:rPr>
                <w:sz w:val="24"/>
                <w:szCs w:val="24"/>
                <w:lang w:eastAsia="ar-SA"/>
              </w:rPr>
              <w:t>Event planners sometimes collect fees for services by payment of a commissionable rate by the venue by securing space on pre-booked items on behalf of the client.</w:t>
            </w:r>
          </w:p>
          <w:p w14:paraId="16CB6159" w14:textId="509C99CD" w:rsidR="0038556F" w:rsidRPr="004C1800" w:rsidRDefault="0038556F" w:rsidP="0038556F">
            <w:pPr>
              <w:pStyle w:val="ListParagraph"/>
              <w:numPr>
                <w:ilvl w:val="0"/>
                <w:numId w:val="7"/>
              </w:numPr>
              <w:ind w:left="567"/>
              <w:rPr>
                <w:sz w:val="24"/>
                <w:szCs w:val="24"/>
                <w:lang w:eastAsia="ar-SA"/>
              </w:rPr>
            </w:pPr>
            <w:r w:rsidRPr="004C1800">
              <w:rPr>
                <w:sz w:val="24"/>
                <w:szCs w:val="24"/>
                <w:lang w:eastAsia="ar-SA"/>
              </w:rPr>
              <w:t xml:space="preserve">These fees are often provided to travel </w:t>
            </w:r>
            <w:r w:rsidRPr="004C1800">
              <w:rPr>
                <w:sz w:val="24"/>
                <w:szCs w:val="24"/>
                <w:lang w:eastAsia="ar-SA"/>
              </w:rPr>
              <w:lastRenderedPageBreak/>
              <w:t>agents or agencies for booking tickets, hotel rooms and other forms of transportation.</w:t>
            </w:r>
          </w:p>
          <w:p w14:paraId="13624802" w14:textId="22C538FF" w:rsidR="0038556F" w:rsidRPr="004C1800" w:rsidRDefault="0038556F" w:rsidP="0038556F">
            <w:pPr>
              <w:pStyle w:val="ListParagraph"/>
              <w:numPr>
                <w:ilvl w:val="0"/>
                <w:numId w:val="7"/>
              </w:numPr>
              <w:ind w:left="567"/>
              <w:rPr>
                <w:sz w:val="24"/>
                <w:szCs w:val="24"/>
                <w:lang w:eastAsia="ar-SA"/>
              </w:rPr>
            </w:pPr>
            <w:r w:rsidRPr="004C1800">
              <w:rPr>
                <w:sz w:val="24"/>
                <w:szCs w:val="24"/>
                <w:lang w:eastAsia="ar-SA"/>
              </w:rPr>
              <w:t>For example, many hotels may extend a commissionable rate up to as much as 10% for guestrooms and other expenses.</w:t>
            </w:r>
          </w:p>
          <w:p w14:paraId="3C7142CD" w14:textId="77777777" w:rsidR="0038556F" w:rsidRPr="004C1800" w:rsidRDefault="0038556F" w:rsidP="0038556F">
            <w:pPr>
              <w:rPr>
                <w:i/>
                <w:sz w:val="24"/>
                <w:szCs w:val="24"/>
                <w:lang w:eastAsia="ar-SA"/>
              </w:rPr>
            </w:pPr>
            <w:r w:rsidRPr="004C1800">
              <w:rPr>
                <w:b/>
                <w:i/>
                <w:iCs/>
                <w:sz w:val="24"/>
                <w:szCs w:val="24"/>
                <w:lang w:eastAsia="ar-SA"/>
              </w:rPr>
              <w:t>25 twin rooms @ £250 per room per night = £6250 @ 10% commission = £625.00</w:t>
            </w:r>
          </w:p>
        </w:tc>
      </w:tr>
    </w:tbl>
    <w:p w14:paraId="117ADC9A" w14:textId="77777777" w:rsidR="0038556F" w:rsidRPr="004C1800" w:rsidRDefault="0038556F" w:rsidP="0038556F"/>
    <w:p w14:paraId="316DB525" w14:textId="77777777" w:rsidR="0038556F" w:rsidRPr="004C1800" w:rsidRDefault="0038556F" w:rsidP="0038556F">
      <w:pPr>
        <w:rPr>
          <w:i/>
          <w:lang w:eastAsia="ar-SA"/>
        </w:rPr>
      </w:pPr>
      <w:r w:rsidRPr="004C1800">
        <w:rPr>
          <w:i/>
          <w:lang w:eastAsia="ar-SA"/>
        </w:rPr>
        <w:t>Table 7.3: Sample of specific financial clauses</w:t>
      </w:r>
    </w:p>
    <w:tbl>
      <w:tblPr>
        <w:tblStyle w:val="TableGrid"/>
        <w:tblW w:w="5000" w:type="pct"/>
        <w:tblLook w:val="04A0" w:firstRow="1" w:lastRow="0" w:firstColumn="1" w:lastColumn="0" w:noHBand="0" w:noVBand="1"/>
      </w:tblPr>
      <w:tblGrid>
        <w:gridCol w:w="3351"/>
        <w:gridCol w:w="5891"/>
      </w:tblGrid>
      <w:tr w:rsidR="0038556F" w:rsidRPr="004C1800" w14:paraId="3F5D5160" w14:textId="77777777" w:rsidTr="003214D8">
        <w:tc>
          <w:tcPr>
            <w:tcW w:w="1813" w:type="pct"/>
            <w:tcBorders>
              <w:top w:val="single" w:sz="4" w:space="0" w:color="auto"/>
              <w:left w:val="single" w:sz="4" w:space="0" w:color="auto"/>
              <w:bottom w:val="single" w:sz="4" w:space="0" w:color="auto"/>
              <w:right w:val="single" w:sz="4" w:space="0" w:color="auto"/>
            </w:tcBorders>
            <w:hideMark/>
          </w:tcPr>
          <w:p w14:paraId="58CB24EE" w14:textId="77777777" w:rsidR="0038556F" w:rsidRPr="006B6F43" w:rsidRDefault="0038556F" w:rsidP="0038556F">
            <w:pPr>
              <w:rPr>
                <w:b/>
                <w:bCs/>
                <w:sz w:val="24"/>
                <w:szCs w:val="24"/>
                <w:lang w:eastAsia="ar-SA"/>
              </w:rPr>
            </w:pPr>
            <w:r w:rsidRPr="006B6F43">
              <w:rPr>
                <w:b/>
                <w:bCs/>
                <w:i/>
                <w:iCs/>
                <w:sz w:val="24"/>
                <w:szCs w:val="24"/>
                <w:lang w:eastAsia="ar-SA"/>
              </w:rPr>
              <w:t>Cancellation policy</w:t>
            </w:r>
          </w:p>
        </w:tc>
        <w:tc>
          <w:tcPr>
            <w:tcW w:w="3187" w:type="pct"/>
            <w:tcBorders>
              <w:top w:val="single" w:sz="4" w:space="0" w:color="auto"/>
              <w:left w:val="single" w:sz="4" w:space="0" w:color="auto"/>
              <w:bottom w:val="single" w:sz="4" w:space="0" w:color="auto"/>
              <w:right w:val="single" w:sz="4" w:space="0" w:color="auto"/>
            </w:tcBorders>
            <w:hideMark/>
          </w:tcPr>
          <w:p w14:paraId="0454AC29" w14:textId="77777777" w:rsidR="0038556F" w:rsidRPr="004C1800" w:rsidRDefault="0038556F" w:rsidP="0038556F">
            <w:pPr>
              <w:rPr>
                <w:sz w:val="24"/>
                <w:szCs w:val="24"/>
                <w:shd w:val="clear" w:color="auto" w:fill="FFFFFF"/>
              </w:rPr>
            </w:pPr>
            <w:r w:rsidRPr="004C1800">
              <w:rPr>
                <w:sz w:val="24"/>
                <w:szCs w:val="24"/>
                <w:shd w:val="clear" w:color="auto" w:fill="FFFFFF"/>
              </w:rPr>
              <w:t>Percentage amount paid back to the other party i.e. Full payment if less than 14 days remain until commencement of the event, but a change of penalties may apply dependent on the financial clauses included in the Terms &amp; Conditions.</w:t>
            </w:r>
          </w:p>
        </w:tc>
      </w:tr>
      <w:tr w:rsidR="0038556F" w:rsidRPr="004C1800" w14:paraId="774A916B" w14:textId="77777777" w:rsidTr="003214D8">
        <w:tc>
          <w:tcPr>
            <w:tcW w:w="1813" w:type="pct"/>
            <w:tcBorders>
              <w:top w:val="single" w:sz="4" w:space="0" w:color="auto"/>
              <w:left w:val="single" w:sz="4" w:space="0" w:color="auto"/>
              <w:bottom w:val="single" w:sz="4" w:space="0" w:color="auto"/>
              <w:right w:val="single" w:sz="4" w:space="0" w:color="auto"/>
            </w:tcBorders>
            <w:hideMark/>
          </w:tcPr>
          <w:p w14:paraId="7A07975A" w14:textId="77777777" w:rsidR="0038556F" w:rsidRPr="006B6F43" w:rsidRDefault="0038556F" w:rsidP="0038556F">
            <w:pPr>
              <w:rPr>
                <w:b/>
                <w:bCs/>
                <w:sz w:val="24"/>
                <w:szCs w:val="24"/>
                <w:lang w:eastAsia="ar-SA"/>
              </w:rPr>
            </w:pPr>
            <w:r>
              <w:rPr>
                <w:b/>
                <w:bCs/>
                <w:i/>
                <w:iCs/>
                <w:sz w:val="24"/>
                <w:szCs w:val="24"/>
                <w:lang w:eastAsia="ar-SA"/>
              </w:rPr>
              <w:t>T</w:t>
            </w:r>
            <w:r w:rsidRPr="006B6F43">
              <w:rPr>
                <w:b/>
                <w:bCs/>
                <w:i/>
                <w:iCs/>
                <w:sz w:val="24"/>
                <w:szCs w:val="24"/>
                <w:lang w:eastAsia="ar-SA"/>
              </w:rPr>
              <w:t>ermination policy</w:t>
            </w:r>
          </w:p>
        </w:tc>
        <w:tc>
          <w:tcPr>
            <w:tcW w:w="3187" w:type="pct"/>
            <w:tcBorders>
              <w:top w:val="single" w:sz="4" w:space="0" w:color="auto"/>
              <w:left w:val="single" w:sz="4" w:space="0" w:color="auto"/>
              <w:bottom w:val="single" w:sz="4" w:space="0" w:color="auto"/>
              <w:right w:val="single" w:sz="4" w:space="0" w:color="auto"/>
            </w:tcBorders>
            <w:hideMark/>
          </w:tcPr>
          <w:p w14:paraId="104662D7" w14:textId="77777777" w:rsidR="0038556F" w:rsidRPr="004C1800" w:rsidRDefault="0038556F" w:rsidP="0038556F">
            <w:pPr>
              <w:rPr>
                <w:sz w:val="24"/>
                <w:szCs w:val="24"/>
                <w:shd w:val="clear" w:color="auto" w:fill="FFFFFF"/>
              </w:rPr>
            </w:pPr>
            <w:r w:rsidRPr="004C1800">
              <w:rPr>
                <w:sz w:val="24"/>
                <w:szCs w:val="24"/>
                <w:shd w:val="clear" w:color="auto" w:fill="FFFFFF"/>
              </w:rPr>
              <w:t>Amounts payable if notified 30 days in advance in writing.</w:t>
            </w:r>
          </w:p>
        </w:tc>
      </w:tr>
      <w:tr w:rsidR="0038556F" w:rsidRPr="004C1800" w14:paraId="01E6BF8E" w14:textId="77777777" w:rsidTr="003214D8">
        <w:tc>
          <w:tcPr>
            <w:tcW w:w="1813" w:type="pct"/>
            <w:tcBorders>
              <w:top w:val="single" w:sz="4" w:space="0" w:color="auto"/>
              <w:left w:val="single" w:sz="4" w:space="0" w:color="auto"/>
              <w:bottom w:val="single" w:sz="4" w:space="0" w:color="auto"/>
              <w:right w:val="single" w:sz="4" w:space="0" w:color="auto"/>
            </w:tcBorders>
            <w:hideMark/>
          </w:tcPr>
          <w:p w14:paraId="02B9A25F" w14:textId="77777777" w:rsidR="0038556F" w:rsidRPr="006B6F43" w:rsidRDefault="0038556F" w:rsidP="0038556F">
            <w:pPr>
              <w:rPr>
                <w:b/>
                <w:bCs/>
                <w:sz w:val="24"/>
                <w:szCs w:val="24"/>
                <w:lang w:eastAsia="ar-SA"/>
              </w:rPr>
            </w:pPr>
            <w:r w:rsidRPr="006B6F43">
              <w:rPr>
                <w:b/>
                <w:bCs/>
                <w:i/>
                <w:iCs/>
                <w:sz w:val="24"/>
                <w:szCs w:val="24"/>
                <w:lang w:eastAsia="ar-SA"/>
              </w:rPr>
              <w:t>Force majeure</w:t>
            </w:r>
          </w:p>
        </w:tc>
        <w:tc>
          <w:tcPr>
            <w:tcW w:w="3187" w:type="pct"/>
            <w:tcBorders>
              <w:top w:val="single" w:sz="4" w:space="0" w:color="auto"/>
              <w:left w:val="single" w:sz="4" w:space="0" w:color="auto"/>
              <w:bottom w:val="single" w:sz="4" w:space="0" w:color="auto"/>
              <w:right w:val="single" w:sz="4" w:space="0" w:color="auto"/>
            </w:tcBorders>
            <w:hideMark/>
          </w:tcPr>
          <w:p w14:paraId="2696CA97" w14:textId="77777777" w:rsidR="0038556F" w:rsidRPr="004C1800" w:rsidRDefault="0038556F" w:rsidP="0038556F">
            <w:pPr>
              <w:rPr>
                <w:sz w:val="24"/>
                <w:szCs w:val="24"/>
                <w:shd w:val="clear" w:color="auto" w:fill="FFFFFF"/>
              </w:rPr>
            </w:pPr>
            <w:r w:rsidRPr="004C1800">
              <w:rPr>
                <w:sz w:val="24"/>
                <w:szCs w:val="24"/>
                <w:shd w:val="clear" w:color="auto" w:fill="FFFFFF"/>
              </w:rPr>
              <w:t>Unavoidable situations such as an Act of God: snowstorm, strikes, natural disaster, failure of third party.</w:t>
            </w:r>
          </w:p>
        </w:tc>
      </w:tr>
      <w:tr w:rsidR="0038556F" w:rsidRPr="004C1800" w14:paraId="15692204" w14:textId="77777777" w:rsidTr="003214D8">
        <w:tc>
          <w:tcPr>
            <w:tcW w:w="1813" w:type="pct"/>
            <w:tcBorders>
              <w:top w:val="single" w:sz="4" w:space="0" w:color="auto"/>
              <w:left w:val="single" w:sz="4" w:space="0" w:color="auto"/>
              <w:bottom w:val="single" w:sz="4" w:space="0" w:color="auto"/>
              <w:right w:val="single" w:sz="4" w:space="0" w:color="auto"/>
            </w:tcBorders>
          </w:tcPr>
          <w:p w14:paraId="5A48CF76" w14:textId="03285B38" w:rsidR="0038556F" w:rsidRPr="006B6F43" w:rsidRDefault="0038556F" w:rsidP="0038556F">
            <w:pPr>
              <w:rPr>
                <w:b/>
                <w:bCs/>
                <w:sz w:val="24"/>
                <w:szCs w:val="24"/>
                <w:lang w:eastAsia="ar-SA"/>
              </w:rPr>
            </w:pPr>
            <w:r w:rsidRPr="006B6F43">
              <w:rPr>
                <w:b/>
                <w:bCs/>
                <w:i/>
                <w:iCs/>
                <w:sz w:val="24"/>
                <w:szCs w:val="24"/>
                <w:lang w:eastAsia="ar-SA"/>
              </w:rPr>
              <w:t>Indemnity and limitation of liability</w:t>
            </w:r>
          </w:p>
        </w:tc>
        <w:tc>
          <w:tcPr>
            <w:tcW w:w="3187" w:type="pct"/>
            <w:tcBorders>
              <w:top w:val="single" w:sz="4" w:space="0" w:color="auto"/>
              <w:left w:val="single" w:sz="4" w:space="0" w:color="auto"/>
              <w:bottom w:val="single" w:sz="4" w:space="0" w:color="auto"/>
              <w:right w:val="single" w:sz="4" w:space="0" w:color="auto"/>
            </w:tcBorders>
            <w:hideMark/>
          </w:tcPr>
          <w:p w14:paraId="364BCFA1" w14:textId="2326FFF2" w:rsidR="0038556F" w:rsidRPr="004C1800" w:rsidRDefault="0038556F" w:rsidP="0038556F">
            <w:pPr>
              <w:rPr>
                <w:sz w:val="24"/>
                <w:szCs w:val="24"/>
                <w:shd w:val="clear" w:color="auto" w:fill="FFFFFF"/>
              </w:rPr>
            </w:pPr>
            <w:r w:rsidRPr="004C1800">
              <w:rPr>
                <w:sz w:val="24"/>
                <w:szCs w:val="24"/>
                <w:shd w:val="clear" w:color="auto" w:fill="FFFFFF"/>
              </w:rPr>
              <w:t>A promise by one party to save the other party from loss or damage. On the other hand,</w:t>
            </w:r>
            <w:r w:rsidR="00C778C7">
              <w:rPr>
                <w:sz w:val="24"/>
                <w:szCs w:val="24"/>
                <w:shd w:val="clear" w:color="auto" w:fill="FFFFFF"/>
              </w:rPr>
              <w:t xml:space="preserve"> </w:t>
            </w:r>
            <w:r w:rsidRPr="004C1800">
              <w:rPr>
                <w:sz w:val="24"/>
                <w:szCs w:val="24"/>
                <w:shd w:val="clear" w:color="auto" w:fill="FFFFFF"/>
              </w:rPr>
              <w:t>limitation of liability</w:t>
            </w:r>
            <w:r w:rsidR="00C778C7">
              <w:rPr>
                <w:sz w:val="24"/>
                <w:szCs w:val="24"/>
                <w:shd w:val="clear" w:color="auto" w:fill="FFFFFF"/>
              </w:rPr>
              <w:t xml:space="preserve"> </w:t>
            </w:r>
            <w:r w:rsidRPr="004C1800">
              <w:rPr>
                <w:sz w:val="24"/>
                <w:szCs w:val="24"/>
                <w:shd w:val="clear" w:color="auto" w:fill="FFFFFF"/>
              </w:rPr>
              <w:t>provision limits a party's</w:t>
            </w:r>
            <w:r w:rsidR="00C778C7">
              <w:rPr>
                <w:sz w:val="24"/>
                <w:szCs w:val="24"/>
                <w:shd w:val="clear" w:color="auto" w:fill="FFFFFF"/>
              </w:rPr>
              <w:t xml:space="preserve"> </w:t>
            </w:r>
            <w:r w:rsidRPr="004C1800">
              <w:rPr>
                <w:sz w:val="24"/>
                <w:szCs w:val="24"/>
                <w:shd w:val="clear" w:color="auto" w:fill="FFFFFF"/>
              </w:rPr>
              <w:t>liability</w:t>
            </w:r>
            <w:r w:rsidR="00C778C7">
              <w:rPr>
                <w:sz w:val="24"/>
                <w:szCs w:val="24"/>
                <w:shd w:val="clear" w:color="auto" w:fill="FFFFFF"/>
              </w:rPr>
              <w:t xml:space="preserve"> </w:t>
            </w:r>
            <w:r w:rsidRPr="004C1800">
              <w:rPr>
                <w:sz w:val="24"/>
                <w:szCs w:val="24"/>
                <w:shd w:val="clear" w:color="auto" w:fill="FFFFFF"/>
              </w:rPr>
              <w:t>for any loss or damages that arise.</w:t>
            </w:r>
          </w:p>
        </w:tc>
      </w:tr>
      <w:tr w:rsidR="0038556F" w:rsidRPr="004C1800" w14:paraId="3857F8AE" w14:textId="77777777" w:rsidTr="003214D8">
        <w:tc>
          <w:tcPr>
            <w:tcW w:w="1813" w:type="pct"/>
            <w:tcBorders>
              <w:top w:val="single" w:sz="4" w:space="0" w:color="auto"/>
              <w:left w:val="single" w:sz="4" w:space="0" w:color="auto"/>
              <w:bottom w:val="single" w:sz="4" w:space="0" w:color="auto"/>
              <w:right w:val="single" w:sz="4" w:space="0" w:color="auto"/>
            </w:tcBorders>
          </w:tcPr>
          <w:p w14:paraId="3603B256" w14:textId="688A1C4E" w:rsidR="0038556F" w:rsidRPr="006B6F43" w:rsidRDefault="0038556F" w:rsidP="0038556F">
            <w:pPr>
              <w:rPr>
                <w:b/>
                <w:bCs/>
                <w:sz w:val="24"/>
                <w:szCs w:val="24"/>
                <w:lang w:eastAsia="ar-SA"/>
              </w:rPr>
            </w:pPr>
            <w:r w:rsidRPr="006B6F43">
              <w:rPr>
                <w:b/>
                <w:bCs/>
                <w:i/>
                <w:iCs/>
                <w:sz w:val="24"/>
                <w:szCs w:val="24"/>
                <w:lang w:eastAsia="ar-SA"/>
              </w:rPr>
              <w:t xml:space="preserve">Legal </w:t>
            </w:r>
            <w:r w:rsidR="00F269CE">
              <w:rPr>
                <w:b/>
                <w:bCs/>
                <w:i/>
                <w:iCs/>
                <w:sz w:val="24"/>
                <w:szCs w:val="24"/>
                <w:lang w:eastAsia="ar-SA"/>
              </w:rPr>
              <w:t>j</w:t>
            </w:r>
            <w:r w:rsidRPr="006B6F43">
              <w:rPr>
                <w:b/>
                <w:bCs/>
                <w:i/>
                <w:iCs/>
                <w:sz w:val="24"/>
                <w:szCs w:val="24"/>
                <w:lang w:eastAsia="ar-SA"/>
              </w:rPr>
              <w:t>urisdiction</w:t>
            </w:r>
          </w:p>
        </w:tc>
        <w:tc>
          <w:tcPr>
            <w:tcW w:w="3187" w:type="pct"/>
            <w:tcBorders>
              <w:top w:val="single" w:sz="4" w:space="0" w:color="auto"/>
              <w:left w:val="single" w:sz="4" w:space="0" w:color="auto"/>
              <w:bottom w:val="single" w:sz="4" w:space="0" w:color="auto"/>
              <w:right w:val="single" w:sz="4" w:space="0" w:color="auto"/>
            </w:tcBorders>
            <w:hideMark/>
          </w:tcPr>
          <w:p w14:paraId="46DD6FC6" w14:textId="7DE12262"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The authority given by</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law</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to a court to try cases and rule on</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legal</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matters within a particular geographic area over certain types of</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legal</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cases.</w:t>
            </w:r>
          </w:p>
          <w:p w14:paraId="3815D34D" w14:textId="783A8ACA"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It is vital to determine before a lawsuit is filed which court has</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jurisdiction.</w:t>
            </w:r>
          </w:p>
        </w:tc>
      </w:tr>
      <w:tr w:rsidR="0038556F" w:rsidRPr="004C1800" w14:paraId="163444F7" w14:textId="77777777" w:rsidTr="003214D8">
        <w:tc>
          <w:tcPr>
            <w:tcW w:w="1813" w:type="pct"/>
            <w:tcBorders>
              <w:top w:val="single" w:sz="4" w:space="0" w:color="auto"/>
              <w:left w:val="single" w:sz="4" w:space="0" w:color="auto"/>
              <w:bottom w:val="single" w:sz="4" w:space="0" w:color="auto"/>
              <w:right w:val="single" w:sz="4" w:space="0" w:color="auto"/>
            </w:tcBorders>
          </w:tcPr>
          <w:p w14:paraId="759080A5" w14:textId="78EB5F6A" w:rsidR="0038556F" w:rsidRPr="006B6F43" w:rsidRDefault="0038556F" w:rsidP="0038556F">
            <w:pPr>
              <w:rPr>
                <w:b/>
                <w:bCs/>
                <w:sz w:val="24"/>
                <w:szCs w:val="24"/>
                <w:lang w:eastAsia="ar-SA"/>
              </w:rPr>
            </w:pPr>
            <w:r w:rsidRPr="006B6F43">
              <w:rPr>
                <w:b/>
                <w:bCs/>
                <w:i/>
                <w:iCs/>
                <w:sz w:val="24"/>
                <w:szCs w:val="24"/>
                <w:lang w:eastAsia="ar-SA"/>
              </w:rPr>
              <w:t>Arbitration</w:t>
            </w:r>
          </w:p>
        </w:tc>
        <w:tc>
          <w:tcPr>
            <w:tcW w:w="3187" w:type="pct"/>
            <w:tcBorders>
              <w:top w:val="single" w:sz="4" w:space="0" w:color="auto"/>
              <w:left w:val="single" w:sz="4" w:space="0" w:color="auto"/>
              <w:bottom w:val="single" w:sz="4" w:space="0" w:color="auto"/>
              <w:right w:val="single" w:sz="4" w:space="0" w:color="auto"/>
            </w:tcBorders>
            <w:hideMark/>
          </w:tcPr>
          <w:p w14:paraId="43A42098" w14:textId="78B86568"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The process of bringing a business case before an impartial third party in order to resolve a dispute.</w:t>
            </w:r>
          </w:p>
          <w:p w14:paraId="0A833B5E" w14:textId="7F57711A"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lastRenderedPageBreak/>
              <w:t>The third party, an</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bCs/>
                <w:sz w:val="24"/>
                <w:szCs w:val="24"/>
                <w:shd w:val="clear" w:color="auto" w:fill="FFFFFF"/>
              </w:rPr>
              <w:t>arbitrator</w:t>
            </w:r>
            <w:r w:rsidRPr="004C1800">
              <w:rPr>
                <w:rFonts w:ascii="Times New Roman" w:hAnsi="Times New Roman" w:cs="Times New Roman"/>
                <w:sz w:val="24"/>
                <w:szCs w:val="24"/>
                <w:shd w:val="clear" w:color="auto" w:fill="FFFFFF"/>
              </w:rPr>
              <w:t>, hears the evidence brought by both sides and</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bCs/>
                <w:sz w:val="24"/>
                <w:szCs w:val="24"/>
                <w:shd w:val="clear" w:color="auto" w:fill="FFFFFF"/>
              </w:rPr>
              <w:t>makes</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a decision.</w:t>
            </w:r>
          </w:p>
          <w:p w14:paraId="678937F3" w14:textId="77777777" w:rsidR="0038556F" w:rsidRPr="004C1800" w:rsidRDefault="0038556F" w:rsidP="0038556F">
            <w:pPr>
              <w:pStyle w:val="NoSpacing"/>
              <w:spacing w:line="360" w:lineRule="auto"/>
              <w:rPr>
                <w:rFonts w:ascii="Times New Roman" w:hAnsi="Times New Roman" w:cs="Times New Roman"/>
                <w:sz w:val="24"/>
                <w:szCs w:val="24"/>
                <w:lang w:eastAsia="ar-SA"/>
              </w:rPr>
            </w:pPr>
            <w:r w:rsidRPr="004C1800">
              <w:rPr>
                <w:rFonts w:ascii="Times New Roman" w:hAnsi="Times New Roman" w:cs="Times New Roman"/>
                <w:sz w:val="24"/>
                <w:szCs w:val="24"/>
                <w:shd w:val="clear" w:color="auto" w:fill="FFFFFF"/>
              </w:rPr>
              <w:t>Sometimes that decision may be binding both parties.</w:t>
            </w:r>
          </w:p>
        </w:tc>
      </w:tr>
      <w:tr w:rsidR="0038556F" w:rsidRPr="004C1800" w14:paraId="0E2566D9" w14:textId="77777777" w:rsidTr="003214D8">
        <w:tc>
          <w:tcPr>
            <w:tcW w:w="1813" w:type="pct"/>
            <w:tcBorders>
              <w:top w:val="single" w:sz="4" w:space="0" w:color="auto"/>
              <w:left w:val="single" w:sz="4" w:space="0" w:color="auto"/>
              <w:bottom w:val="single" w:sz="4" w:space="0" w:color="auto"/>
              <w:right w:val="single" w:sz="4" w:space="0" w:color="auto"/>
            </w:tcBorders>
          </w:tcPr>
          <w:p w14:paraId="1E4984E7" w14:textId="4AD1A242" w:rsidR="0038556F" w:rsidRPr="006B6F43" w:rsidRDefault="0038556F" w:rsidP="0038556F">
            <w:pPr>
              <w:rPr>
                <w:b/>
                <w:bCs/>
                <w:sz w:val="24"/>
                <w:szCs w:val="24"/>
                <w:lang w:eastAsia="ar-SA"/>
              </w:rPr>
            </w:pPr>
            <w:r w:rsidRPr="006B6F43">
              <w:rPr>
                <w:b/>
                <w:bCs/>
                <w:i/>
                <w:iCs/>
                <w:sz w:val="24"/>
                <w:szCs w:val="24"/>
                <w:lang w:eastAsia="ar-SA"/>
              </w:rPr>
              <w:lastRenderedPageBreak/>
              <w:t xml:space="preserve">Intellectual </w:t>
            </w:r>
            <w:r w:rsidR="00F269CE">
              <w:rPr>
                <w:b/>
                <w:bCs/>
                <w:i/>
                <w:iCs/>
                <w:sz w:val="24"/>
                <w:szCs w:val="24"/>
                <w:lang w:eastAsia="ar-SA"/>
              </w:rPr>
              <w:t>p</w:t>
            </w:r>
            <w:r w:rsidRPr="006B6F43">
              <w:rPr>
                <w:b/>
                <w:bCs/>
                <w:i/>
                <w:iCs/>
                <w:sz w:val="24"/>
                <w:szCs w:val="24"/>
                <w:lang w:eastAsia="ar-SA"/>
              </w:rPr>
              <w:t>roperty</w:t>
            </w:r>
          </w:p>
        </w:tc>
        <w:tc>
          <w:tcPr>
            <w:tcW w:w="3187" w:type="pct"/>
            <w:tcBorders>
              <w:top w:val="single" w:sz="4" w:space="0" w:color="auto"/>
              <w:left w:val="single" w:sz="4" w:space="0" w:color="auto"/>
              <w:bottom w:val="single" w:sz="4" w:space="0" w:color="auto"/>
              <w:right w:val="single" w:sz="4" w:space="0" w:color="auto"/>
            </w:tcBorders>
            <w:hideMark/>
          </w:tcPr>
          <w:p w14:paraId="057C5715" w14:textId="77777777" w:rsidR="0038556F" w:rsidRPr="004C1800" w:rsidRDefault="0038556F" w:rsidP="0038556F">
            <w:pPr>
              <w:rPr>
                <w:sz w:val="24"/>
                <w:szCs w:val="24"/>
                <w:shd w:val="clear" w:color="auto" w:fill="FFFFFF"/>
              </w:rPr>
            </w:pPr>
            <w:r w:rsidRPr="004C1800">
              <w:rPr>
                <w:sz w:val="24"/>
                <w:szCs w:val="24"/>
                <w:shd w:val="clear" w:color="auto" w:fill="FFFFFF"/>
              </w:rPr>
              <w:t>This refers to the ownership of an idea or design or event concept, by the person who came up with it. It gives a person certain exclusive rights to a distinct type of creative design, meaning that nobody else can copy or reuse that creation without the owner's permission.</w:t>
            </w:r>
          </w:p>
        </w:tc>
      </w:tr>
      <w:tr w:rsidR="0038556F" w:rsidRPr="004C1800" w14:paraId="2DF20F10" w14:textId="77777777" w:rsidTr="003214D8">
        <w:tc>
          <w:tcPr>
            <w:tcW w:w="1813" w:type="pct"/>
            <w:tcBorders>
              <w:top w:val="single" w:sz="4" w:space="0" w:color="auto"/>
              <w:left w:val="single" w:sz="4" w:space="0" w:color="auto"/>
              <w:bottom w:val="single" w:sz="4" w:space="0" w:color="auto"/>
              <w:right w:val="single" w:sz="4" w:space="0" w:color="auto"/>
            </w:tcBorders>
          </w:tcPr>
          <w:p w14:paraId="006A6E6E" w14:textId="674AA454" w:rsidR="0038556F" w:rsidRPr="006B6F43" w:rsidRDefault="0038556F" w:rsidP="0038556F">
            <w:pPr>
              <w:rPr>
                <w:b/>
                <w:bCs/>
                <w:sz w:val="24"/>
                <w:szCs w:val="24"/>
                <w:lang w:eastAsia="ar-SA"/>
              </w:rPr>
            </w:pPr>
            <w:r w:rsidRPr="006B6F43">
              <w:rPr>
                <w:b/>
                <w:bCs/>
                <w:i/>
                <w:iCs/>
                <w:sz w:val="24"/>
                <w:szCs w:val="24"/>
                <w:lang w:eastAsia="ar-SA"/>
              </w:rPr>
              <w:t>Performing organisations and unions</w:t>
            </w:r>
          </w:p>
        </w:tc>
        <w:tc>
          <w:tcPr>
            <w:tcW w:w="3187" w:type="pct"/>
            <w:tcBorders>
              <w:top w:val="single" w:sz="4" w:space="0" w:color="auto"/>
              <w:left w:val="single" w:sz="4" w:space="0" w:color="auto"/>
              <w:bottom w:val="single" w:sz="4" w:space="0" w:color="auto"/>
              <w:right w:val="single" w:sz="4" w:space="0" w:color="auto"/>
            </w:tcBorders>
            <w:hideMark/>
          </w:tcPr>
          <w:p w14:paraId="0E1B243E" w14:textId="77777777"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Organisations governing the industry who seek to coordinate the behaviour of their member companies in matters of mutual interest, such as during negotiations with trade unions or government.</w:t>
            </w:r>
          </w:p>
          <w:p w14:paraId="424A0D6E" w14:textId="77777777"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 xml:space="preserve"> Both employer organisations and trade unions and promote the economic and social interests of its members</w:t>
            </w:r>
            <w:r w:rsidR="00F269CE">
              <w:rPr>
                <w:rFonts w:ascii="Times New Roman" w:hAnsi="Times New Roman" w:cs="Times New Roman"/>
                <w:sz w:val="24"/>
                <w:szCs w:val="24"/>
                <w:shd w:val="clear" w:color="auto" w:fill="FFFFFF"/>
              </w:rPr>
              <w:t>.</w:t>
            </w:r>
          </w:p>
        </w:tc>
      </w:tr>
      <w:tr w:rsidR="0038556F" w:rsidRPr="004C1800" w14:paraId="57DFF8F4" w14:textId="77777777" w:rsidTr="003214D8">
        <w:tc>
          <w:tcPr>
            <w:tcW w:w="1813" w:type="pct"/>
            <w:tcBorders>
              <w:top w:val="single" w:sz="4" w:space="0" w:color="auto"/>
              <w:left w:val="single" w:sz="4" w:space="0" w:color="auto"/>
              <w:bottom w:val="single" w:sz="4" w:space="0" w:color="auto"/>
              <w:right w:val="single" w:sz="4" w:space="0" w:color="auto"/>
            </w:tcBorders>
          </w:tcPr>
          <w:p w14:paraId="2BBA6763" w14:textId="358F0900" w:rsidR="0038556F" w:rsidRPr="006B6F43" w:rsidRDefault="0038556F" w:rsidP="003214D8">
            <w:pPr>
              <w:rPr>
                <w:b/>
                <w:bCs/>
                <w:i/>
                <w:iCs/>
                <w:sz w:val="24"/>
                <w:szCs w:val="24"/>
                <w:lang w:eastAsia="ar-SA"/>
              </w:rPr>
            </w:pPr>
            <w:r w:rsidRPr="006B6F43">
              <w:rPr>
                <w:b/>
                <w:bCs/>
                <w:i/>
                <w:iCs/>
                <w:sz w:val="24"/>
                <w:szCs w:val="24"/>
                <w:lang w:eastAsia="ar-SA"/>
              </w:rPr>
              <w:t>Rights of assignment</w:t>
            </w:r>
          </w:p>
        </w:tc>
        <w:tc>
          <w:tcPr>
            <w:tcW w:w="3187" w:type="pct"/>
            <w:tcBorders>
              <w:top w:val="single" w:sz="4" w:space="0" w:color="auto"/>
              <w:left w:val="single" w:sz="4" w:space="0" w:color="auto"/>
              <w:bottom w:val="single" w:sz="4" w:space="0" w:color="auto"/>
              <w:right w:val="single" w:sz="4" w:space="0" w:color="auto"/>
            </w:tcBorders>
            <w:hideMark/>
          </w:tcPr>
          <w:p w14:paraId="291CFB43" w14:textId="40ABA2DE" w:rsidR="0038556F" w:rsidRPr="004C1800" w:rsidRDefault="0038556F" w:rsidP="0038556F">
            <w:pPr>
              <w:rPr>
                <w:sz w:val="24"/>
                <w:szCs w:val="24"/>
                <w:shd w:val="clear" w:color="auto" w:fill="FFFFFF"/>
              </w:rPr>
            </w:pPr>
            <w:r w:rsidRPr="004C1800">
              <w:rPr>
                <w:sz w:val="24"/>
                <w:szCs w:val="24"/>
                <w:shd w:val="clear" w:color="auto" w:fill="FFFFFF"/>
              </w:rPr>
              <w:t>The transfer of a</w:t>
            </w:r>
            <w:r w:rsidR="00C778C7">
              <w:rPr>
                <w:sz w:val="24"/>
                <w:szCs w:val="24"/>
                <w:shd w:val="clear" w:color="auto" w:fill="FFFFFF"/>
              </w:rPr>
              <w:t xml:space="preserve"> </w:t>
            </w:r>
            <w:r w:rsidRPr="004C1800">
              <w:rPr>
                <w:sz w:val="24"/>
                <w:szCs w:val="24"/>
                <w:shd w:val="clear" w:color="auto" w:fill="FFFFFF"/>
              </w:rPr>
              <w:t>right</w:t>
            </w:r>
            <w:r w:rsidR="00C778C7">
              <w:rPr>
                <w:sz w:val="24"/>
                <w:szCs w:val="24"/>
                <w:shd w:val="clear" w:color="auto" w:fill="FFFFFF"/>
              </w:rPr>
              <w:t xml:space="preserve"> </w:t>
            </w:r>
            <w:r w:rsidRPr="004C1800">
              <w:rPr>
                <w:sz w:val="24"/>
                <w:szCs w:val="24"/>
                <w:shd w:val="clear" w:color="auto" w:fill="FFFFFF"/>
              </w:rPr>
              <w:t>from one party to another, for example, the rights of a contract may be assigned to a third party (the assignee) without the consent of the party against whom those</w:t>
            </w:r>
            <w:r w:rsidR="00C778C7">
              <w:rPr>
                <w:sz w:val="24"/>
                <w:szCs w:val="24"/>
                <w:shd w:val="clear" w:color="auto" w:fill="FFFFFF"/>
              </w:rPr>
              <w:t xml:space="preserve"> </w:t>
            </w:r>
            <w:r w:rsidRPr="004C1800">
              <w:rPr>
                <w:sz w:val="24"/>
                <w:szCs w:val="24"/>
                <w:shd w:val="clear" w:color="auto" w:fill="FFFFFF"/>
              </w:rPr>
              <w:t>rights</w:t>
            </w:r>
            <w:r w:rsidR="00C778C7">
              <w:rPr>
                <w:sz w:val="24"/>
                <w:szCs w:val="24"/>
                <w:shd w:val="clear" w:color="auto" w:fill="FFFFFF"/>
              </w:rPr>
              <w:t xml:space="preserve"> </w:t>
            </w:r>
            <w:r w:rsidRPr="004C1800">
              <w:rPr>
                <w:sz w:val="24"/>
                <w:szCs w:val="24"/>
                <w:shd w:val="clear" w:color="auto" w:fill="FFFFFF"/>
              </w:rPr>
              <w:t>are held.</w:t>
            </w:r>
          </w:p>
        </w:tc>
      </w:tr>
      <w:tr w:rsidR="0038556F" w:rsidRPr="004C1800" w14:paraId="42D5061B" w14:textId="77777777" w:rsidTr="003214D8">
        <w:tc>
          <w:tcPr>
            <w:tcW w:w="1813" w:type="pct"/>
            <w:tcBorders>
              <w:top w:val="single" w:sz="4" w:space="0" w:color="auto"/>
              <w:left w:val="single" w:sz="4" w:space="0" w:color="auto"/>
              <w:bottom w:val="single" w:sz="4" w:space="0" w:color="auto"/>
              <w:right w:val="single" w:sz="4" w:space="0" w:color="auto"/>
            </w:tcBorders>
            <w:hideMark/>
          </w:tcPr>
          <w:p w14:paraId="465E8AA6" w14:textId="77777777" w:rsidR="0038556F" w:rsidRPr="006B6F43" w:rsidRDefault="0038556F" w:rsidP="0038556F">
            <w:pPr>
              <w:rPr>
                <w:b/>
                <w:bCs/>
                <w:i/>
                <w:iCs/>
                <w:sz w:val="24"/>
                <w:szCs w:val="24"/>
                <w:lang w:eastAsia="ar-SA"/>
              </w:rPr>
            </w:pPr>
            <w:r w:rsidRPr="006B6F43">
              <w:rPr>
                <w:b/>
                <w:bCs/>
                <w:i/>
                <w:iCs/>
                <w:sz w:val="24"/>
                <w:szCs w:val="24"/>
                <w:lang w:eastAsia="ar-SA"/>
              </w:rPr>
              <w:t>Independent contractor status</w:t>
            </w:r>
          </w:p>
        </w:tc>
        <w:tc>
          <w:tcPr>
            <w:tcW w:w="3187" w:type="pct"/>
            <w:tcBorders>
              <w:top w:val="single" w:sz="4" w:space="0" w:color="auto"/>
              <w:left w:val="single" w:sz="4" w:space="0" w:color="auto"/>
              <w:bottom w:val="single" w:sz="4" w:space="0" w:color="auto"/>
              <w:right w:val="single" w:sz="4" w:space="0" w:color="auto"/>
            </w:tcBorders>
            <w:hideMark/>
          </w:tcPr>
          <w:p w14:paraId="33F9CC43" w14:textId="25EE0296" w:rsidR="0038556F" w:rsidRPr="004C1800" w:rsidRDefault="0038556F" w:rsidP="0038556F">
            <w:pPr>
              <w:pStyle w:val="NoSpacing"/>
              <w:spacing w:line="360" w:lineRule="auto"/>
              <w:rPr>
                <w:rFonts w:ascii="Times New Roman" w:hAnsi="Times New Roman" w:cs="Times New Roman"/>
                <w:sz w:val="24"/>
                <w:szCs w:val="24"/>
                <w:shd w:val="clear" w:color="auto" w:fill="FFFFFF"/>
              </w:rPr>
            </w:pPr>
            <w:r w:rsidRPr="004C1800">
              <w:rPr>
                <w:rFonts w:ascii="Times New Roman" w:hAnsi="Times New Roman" w:cs="Times New Roman"/>
                <w:sz w:val="24"/>
                <w:szCs w:val="24"/>
                <w:shd w:val="clear" w:color="auto" w:fill="FFFFFF"/>
              </w:rPr>
              <w:t>An</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individual</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or business that provides services to another</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individual</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or business.</w:t>
            </w:r>
          </w:p>
          <w:p w14:paraId="111DE489" w14:textId="1BD9FE5C" w:rsidR="0038556F" w:rsidRPr="004C1800" w:rsidRDefault="0038556F">
            <w:pPr>
              <w:pStyle w:val="NoSpacing"/>
              <w:spacing w:line="360" w:lineRule="auto"/>
              <w:rPr>
                <w:rFonts w:ascii="Times New Roman" w:hAnsi="Times New Roman" w:cs="Times New Roman"/>
                <w:sz w:val="24"/>
                <w:szCs w:val="24"/>
                <w:lang w:eastAsia="ar-SA"/>
              </w:rPr>
            </w:pPr>
            <w:r w:rsidRPr="004C1800">
              <w:rPr>
                <w:rFonts w:ascii="Times New Roman" w:hAnsi="Times New Roman" w:cs="Times New Roman"/>
                <w:sz w:val="24"/>
                <w:szCs w:val="24"/>
                <w:shd w:val="clear" w:color="auto" w:fill="FFFFFF"/>
              </w:rPr>
              <w:t>The</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independent contractor</w:t>
            </w:r>
            <w:r w:rsidR="00C778C7">
              <w:rPr>
                <w:rFonts w:ascii="Times New Roman" w:hAnsi="Times New Roman" w:cs="Times New Roman"/>
                <w:sz w:val="24"/>
                <w:szCs w:val="24"/>
                <w:shd w:val="clear" w:color="auto" w:fill="FFFFFF"/>
              </w:rPr>
              <w:t xml:space="preserve"> </w:t>
            </w:r>
            <w:r w:rsidRPr="004C1800">
              <w:rPr>
                <w:rFonts w:ascii="Times New Roman" w:hAnsi="Times New Roman" w:cs="Times New Roman"/>
                <w:sz w:val="24"/>
                <w:szCs w:val="24"/>
                <w:shd w:val="clear" w:color="auto" w:fill="FFFFFF"/>
              </w:rPr>
              <w:t>is a separate business entity and is not considered an employee, i.e. freelancers, consultants, agents or brokers.</w:t>
            </w:r>
          </w:p>
        </w:tc>
      </w:tr>
    </w:tbl>
    <w:p w14:paraId="01580557" w14:textId="77777777" w:rsidR="0009199D" w:rsidRDefault="0009199D"/>
    <w:sectPr w:rsidR="0009199D" w:rsidSect="003214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4A0C5" w14:textId="77777777" w:rsidR="00781B24" w:rsidRDefault="00781B24" w:rsidP="00A30072">
      <w:pPr>
        <w:spacing w:line="240" w:lineRule="auto"/>
      </w:pPr>
      <w:r>
        <w:separator/>
      </w:r>
    </w:p>
  </w:endnote>
  <w:endnote w:type="continuationSeparator" w:id="0">
    <w:p w14:paraId="05F922D1" w14:textId="77777777" w:rsidR="00781B24" w:rsidRDefault="00781B24" w:rsidP="00A30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A6865" w14:textId="77777777" w:rsidR="00714FF9" w:rsidRDefault="0071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6B1A" w14:textId="77777777" w:rsidR="00714FF9" w:rsidRDefault="00714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0DF1" w14:textId="77777777" w:rsidR="00714FF9" w:rsidRDefault="0071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191AE" w14:textId="77777777" w:rsidR="00781B24" w:rsidRDefault="00781B24" w:rsidP="00A30072">
      <w:pPr>
        <w:spacing w:line="240" w:lineRule="auto"/>
      </w:pPr>
      <w:r>
        <w:separator/>
      </w:r>
    </w:p>
  </w:footnote>
  <w:footnote w:type="continuationSeparator" w:id="0">
    <w:p w14:paraId="3021829E" w14:textId="77777777" w:rsidR="00781B24" w:rsidRDefault="00781B24" w:rsidP="00A30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F0B2" w14:textId="77777777" w:rsidR="00714FF9" w:rsidRDefault="0071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8F07" w14:textId="77777777" w:rsidR="00A30072" w:rsidRDefault="00A30072" w:rsidP="003214D8">
    <w:pPr>
      <w:spacing w:line="240" w:lineRule="auto"/>
      <w:jc w:val="right"/>
    </w:pPr>
    <w:r>
      <w:t>Instructor Resource</w:t>
    </w:r>
  </w:p>
  <w:p w14:paraId="08ABDFA4" w14:textId="77777777" w:rsidR="00A30072" w:rsidRDefault="00A30072" w:rsidP="003214D8">
    <w:pPr>
      <w:spacing w:line="240" w:lineRule="auto"/>
      <w:jc w:val="right"/>
      <w:rPr>
        <w:i/>
        <w:iCs/>
      </w:rPr>
    </w:pPr>
    <w:r>
      <w:t>Quick</w:t>
    </w:r>
    <w:r w:rsidRPr="00D1570A">
      <w:t>,</w:t>
    </w:r>
    <w:r>
      <w:rPr>
        <w:i/>
        <w:iCs/>
      </w:rPr>
      <w:t xml:space="preserve"> Managing events: Real challenges, Real outcomes</w:t>
    </w:r>
  </w:p>
  <w:p w14:paraId="44AF5B83" w14:textId="77777777" w:rsidR="00A30072" w:rsidRDefault="00A30072" w:rsidP="003214D8">
    <w:pPr>
      <w:spacing w:line="240" w:lineRule="auto"/>
      <w:jc w:val="right"/>
    </w:pPr>
    <w:r>
      <w:t>SAGE Publishing,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8799" w14:textId="77777777" w:rsidR="00714FF9" w:rsidRDefault="0071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AC54AF8"/>
    <w:multiLevelType w:val="hybridMultilevel"/>
    <w:tmpl w:val="C1C88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3B6E08"/>
    <w:multiLevelType w:val="hybridMultilevel"/>
    <w:tmpl w:val="1AF8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101DB"/>
    <w:multiLevelType w:val="hybridMultilevel"/>
    <w:tmpl w:val="8FCADBC6"/>
    <w:lvl w:ilvl="0" w:tplc="9D765230">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FF87FDE"/>
    <w:multiLevelType w:val="hybridMultilevel"/>
    <w:tmpl w:val="572CB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90076"/>
    <w:multiLevelType w:val="hybridMultilevel"/>
    <w:tmpl w:val="BE88D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071CE"/>
    <w:multiLevelType w:val="hybridMultilevel"/>
    <w:tmpl w:val="8E42F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25AD8"/>
    <w:multiLevelType w:val="hybridMultilevel"/>
    <w:tmpl w:val="C810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6"/>
  </w:num>
  <w:num w:numId="4">
    <w:abstractNumId w:val="11"/>
  </w:num>
  <w:num w:numId="5">
    <w:abstractNumId w:val="4"/>
  </w:num>
  <w:num w:numId="6">
    <w:abstractNumId w:val="13"/>
  </w:num>
  <w:num w:numId="7">
    <w:abstractNumId w:val="9"/>
  </w:num>
  <w:num w:numId="8">
    <w:abstractNumId w:val="7"/>
  </w:num>
  <w:num w:numId="9">
    <w:abstractNumId w:val="18"/>
  </w:num>
  <w:num w:numId="10">
    <w:abstractNumId w:val="14"/>
  </w:num>
  <w:num w:numId="11">
    <w:abstractNumId w:val="10"/>
  </w:num>
  <w:num w:numId="12">
    <w:abstractNumId w:val="12"/>
  </w:num>
  <w:num w:numId="13">
    <w:abstractNumId w:val="5"/>
  </w:num>
  <w:num w:numId="14">
    <w:abstractNumId w:val="2"/>
  </w:num>
  <w:num w:numId="15">
    <w:abstractNumId w:val="1"/>
  </w:num>
  <w:num w:numId="16">
    <w:abstractNumId w:val="0"/>
  </w:num>
  <w:num w:numId="17">
    <w:abstractNumId w:val="3"/>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556F"/>
    <w:rsid w:val="0009199D"/>
    <w:rsid w:val="000E4E6F"/>
    <w:rsid w:val="000F5646"/>
    <w:rsid w:val="002A1E96"/>
    <w:rsid w:val="003214D8"/>
    <w:rsid w:val="0038556F"/>
    <w:rsid w:val="003E1961"/>
    <w:rsid w:val="006333FE"/>
    <w:rsid w:val="00714FF9"/>
    <w:rsid w:val="00781B24"/>
    <w:rsid w:val="007C2A53"/>
    <w:rsid w:val="007F5168"/>
    <w:rsid w:val="008945C3"/>
    <w:rsid w:val="00A30072"/>
    <w:rsid w:val="00AD1E9E"/>
    <w:rsid w:val="00BB74D7"/>
    <w:rsid w:val="00C632FB"/>
    <w:rsid w:val="00C778C7"/>
    <w:rsid w:val="00CD1084"/>
    <w:rsid w:val="00DD719B"/>
    <w:rsid w:val="00E42972"/>
    <w:rsid w:val="00ED163F"/>
    <w:rsid w:val="00F2034D"/>
    <w:rsid w:val="00F2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4633"/>
  <w15:docId w15:val="{125468E3-DC74-4857-B79E-EA856F9C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72"/>
    <w:pPr>
      <w:spacing w:after="0" w:line="360" w:lineRule="auto"/>
      <w:contextualSpacing/>
    </w:pPr>
    <w:rPr>
      <w:rFonts w:ascii="Times New Roman" w:eastAsia="Times New Roman" w:hAnsi="Times New Roman" w:cs="Times New Roman"/>
      <w:color w:val="000000" w:themeColor="text1"/>
      <w:sz w:val="24"/>
      <w:szCs w:val="24"/>
      <w:lang w:val="en-US"/>
    </w:rPr>
  </w:style>
  <w:style w:type="paragraph" w:styleId="Heading1">
    <w:name w:val="heading 1"/>
    <w:basedOn w:val="Normal"/>
    <w:next w:val="Normal"/>
    <w:link w:val="Heading1Char"/>
    <w:qFormat/>
    <w:rsid w:val="00A30072"/>
    <w:pPr>
      <w:keepNext/>
      <w:keepLines/>
      <w:spacing w:after="24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A30072"/>
    <w:pPr>
      <w:keepNext/>
      <w:keepLines/>
      <w:spacing w:before="4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A30072"/>
    <w:pPr>
      <w:keepNext/>
      <w:keepLines/>
      <w:spacing w:before="40" w:after="120"/>
      <w:outlineLvl w:val="2"/>
    </w:pPr>
    <w:rPr>
      <w:rFonts w:eastAsiaTheme="majorEastAsia" w:cstheme="majorBidi"/>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56F"/>
    <w:pPr>
      <w:spacing w:after="0" w:line="240" w:lineRule="auto"/>
    </w:pPr>
  </w:style>
  <w:style w:type="paragraph" w:styleId="ListParagraph">
    <w:name w:val="List Paragraph"/>
    <w:basedOn w:val="Normal"/>
    <w:uiPriority w:val="34"/>
    <w:qFormat/>
    <w:rsid w:val="00A30072"/>
    <w:rPr>
      <w:rFonts w:eastAsia="Calibri"/>
      <w:szCs w:val="22"/>
    </w:rPr>
  </w:style>
  <w:style w:type="character" w:styleId="Hyperlink">
    <w:name w:val="Hyperlink"/>
    <w:uiPriority w:val="99"/>
    <w:unhideWhenUsed/>
    <w:rsid w:val="00A30072"/>
    <w:rPr>
      <w:color w:val="0000FF"/>
      <w:u w:val="single"/>
    </w:rPr>
  </w:style>
  <w:style w:type="character" w:customStyle="1" w:styleId="Heading1Char">
    <w:name w:val="Heading 1 Char"/>
    <w:basedOn w:val="DefaultParagraphFont"/>
    <w:link w:val="Heading1"/>
    <w:rsid w:val="00A30072"/>
    <w:rPr>
      <w:rFonts w:ascii="Times New Roman" w:eastAsiaTheme="majorEastAsia" w:hAnsi="Times New Roman" w:cstheme="majorBidi"/>
      <w:b/>
      <w:bCs/>
      <w:color w:val="2F5496" w:themeColor="accent1" w:themeShade="BF"/>
      <w:sz w:val="28"/>
      <w:szCs w:val="28"/>
      <w:lang w:val="en-US"/>
    </w:rPr>
  </w:style>
  <w:style w:type="character" w:customStyle="1" w:styleId="Heading2Char">
    <w:name w:val="Heading 2 Char"/>
    <w:link w:val="Heading2"/>
    <w:rsid w:val="00A30072"/>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A30072"/>
    <w:rPr>
      <w:rFonts w:ascii="Times New Roman" w:eastAsiaTheme="majorEastAsia" w:hAnsi="Times New Roman" w:cstheme="majorBidi"/>
      <w:b/>
      <w:color w:val="1F3864" w:themeColor="accent1" w:themeShade="80"/>
      <w:sz w:val="24"/>
      <w:szCs w:val="24"/>
      <w:lang w:val="en-US"/>
    </w:rPr>
  </w:style>
  <w:style w:type="paragraph" w:styleId="Header">
    <w:name w:val="header"/>
    <w:basedOn w:val="Normal"/>
    <w:link w:val="HeaderChar"/>
    <w:rsid w:val="00A30072"/>
    <w:pPr>
      <w:tabs>
        <w:tab w:val="center" w:pos="4320"/>
        <w:tab w:val="right" w:pos="8640"/>
      </w:tabs>
    </w:pPr>
  </w:style>
  <w:style w:type="character" w:customStyle="1" w:styleId="HeaderChar">
    <w:name w:val="Header Char"/>
    <w:basedOn w:val="DefaultParagraphFont"/>
    <w:link w:val="Header"/>
    <w:rsid w:val="00A30072"/>
    <w:rPr>
      <w:rFonts w:ascii="Times New Roman" w:eastAsia="Times New Roman" w:hAnsi="Times New Roman" w:cs="Times New Roman"/>
      <w:color w:val="000000" w:themeColor="text1"/>
      <w:sz w:val="24"/>
      <w:szCs w:val="24"/>
      <w:lang w:val="en-US"/>
    </w:rPr>
  </w:style>
  <w:style w:type="character" w:styleId="PageNumber">
    <w:name w:val="page number"/>
    <w:basedOn w:val="DefaultParagraphFont"/>
    <w:rsid w:val="00A30072"/>
  </w:style>
  <w:style w:type="character" w:customStyle="1" w:styleId="apple-converted-space">
    <w:name w:val="apple-converted-space"/>
    <w:basedOn w:val="DefaultParagraphFont"/>
    <w:rsid w:val="00A30072"/>
  </w:style>
  <w:style w:type="paragraph" w:customStyle="1" w:styleId="NumberedList">
    <w:name w:val="Numbered List"/>
    <w:basedOn w:val="Normal"/>
    <w:uiPriority w:val="99"/>
    <w:qFormat/>
    <w:rsid w:val="00A30072"/>
    <w:pPr>
      <w:numPr>
        <w:numId w:val="18"/>
      </w:numPr>
      <w:spacing w:before="120"/>
    </w:pPr>
    <w:rPr>
      <w:rFonts w:eastAsia="Calibri"/>
      <w:szCs w:val="22"/>
    </w:rPr>
  </w:style>
  <w:style w:type="paragraph" w:customStyle="1" w:styleId="ReferenceText">
    <w:name w:val="Reference Text"/>
    <w:basedOn w:val="Normal"/>
    <w:uiPriority w:val="99"/>
    <w:qFormat/>
    <w:rsid w:val="00A30072"/>
    <w:pPr>
      <w:spacing w:before="120"/>
      <w:ind w:left="720" w:hanging="720"/>
    </w:pPr>
    <w:rPr>
      <w:rFonts w:eastAsiaTheme="minorHAnsi" w:cstheme="minorBidi"/>
      <w:szCs w:val="22"/>
    </w:rPr>
  </w:style>
  <w:style w:type="paragraph" w:styleId="Footer">
    <w:name w:val="footer"/>
    <w:basedOn w:val="Normal"/>
    <w:link w:val="FooterChar"/>
    <w:rsid w:val="00A30072"/>
    <w:pPr>
      <w:tabs>
        <w:tab w:val="center" w:pos="4680"/>
        <w:tab w:val="right" w:pos="9360"/>
      </w:tabs>
    </w:pPr>
  </w:style>
  <w:style w:type="character" w:customStyle="1" w:styleId="FooterChar">
    <w:name w:val="Footer Char"/>
    <w:basedOn w:val="DefaultParagraphFont"/>
    <w:link w:val="Footer"/>
    <w:rsid w:val="00A30072"/>
    <w:rPr>
      <w:rFonts w:ascii="Times New Roman" w:eastAsia="Times New Roman" w:hAnsi="Times New Roman" w:cs="Times New Roman"/>
      <w:color w:val="000000" w:themeColor="text1"/>
      <w:sz w:val="24"/>
      <w:szCs w:val="24"/>
      <w:lang w:val="en-US"/>
    </w:rPr>
  </w:style>
  <w:style w:type="paragraph" w:styleId="Title">
    <w:name w:val="Title"/>
    <w:basedOn w:val="Normal"/>
    <w:next w:val="Normal"/>
    <w:link w:val="TitleChar"/>
    <w:qFormat/>
    <w:rsid w:val="00A30072"/>
    <w:pPr>
      <w:pBdr>
        <w:bottom w:val="single" w:sz="8" w:space="4" w:color="4472C4" w:themeColor="accent1"/>
      </w:pBdr>
      <w:spacing w:after="300"/>
    </w:pPr>
    <w:rPr>
      <w:rFonts w:eastAsiaTheme="majorEastAsia" w:cstheme="majorBidi"/>
      <w:color w:val="1F3864" w:themeColor="accent1" w:themeShade="80"/>
      <w:spacing w:val="5"/>
      <w:kern w:val="28"/>
      <w:sz w:val="52"/>
      <w:szCs w:val="52"/>
    </w:rPr>
  </w:style>
  <w:style w:type="character" w:customStyle="1" w:styleId="TitleChar">
    <w:name w:val="Title Char"/>
    <w:basedOn w:val="DefaultParagraphFont"/>
    <w:link w:val="Title"/>
    <w:rsid w:val="00A30072"/>
    <w:rPr>
      <w:rFonts w:ascii="Times New Roman" w:eastAsiaTheme="majorEastAsia" w:hAnsi="Times New Roman" w:cstheme="majorBidi"/>
      <w:color w:val="1F3864" w:themeColor="accent1" w:themeShade="80"/>
      <w:spacing w:val="5"/>
      <w:kern w:val="28"/>
      <w:sz w:val="52"/>
      <w:szCs w:val="52"/>
      <w:lang w:val="en-US"/>
    </w:rPr>
  </w:style>
  <w:style w:type="paragraph" w:styleId="BalloonText">
    <w:name w:val="Balloon Text"/>
    <w:basedOn w:val="Normal"/>
    <w:link w:val="BalloonTextChar"/>
    <w:rsid w:val="00A30072"/>
    <w:rPr>
      <w:rFonts w:ascii="Tahoma" w:hAnsi="Tahoma" w:cs="Tahoma"/>
      <w:sz w:val="16"/>
      <w:szCs w:val="16"/>
    </w:rPr>
  </w:style>
  <w:style w:type="character" w:customStyle="1" w:styleId="BalloonTextChar">
    <w:name w:val="Balloon Text Char"/>
    <w:basedOn w:val="DefaultParagraphFont"/>
    <w:link w:val="BalloonText"/>
    <w:rsid w:val="00A30072"/>
    <w:rPr>
      <w:rFonts w:ascii="Tahoma" w:eastAsia="Times New Roman" w:hAnsi="Tahoma" w:cs="Tahoma"/>
      <w:color w:val="000000" w:themeColor="text1"/>
      <w:sz w:val="16"/>
      <w:szCs w:val="16"/>
      <w:lang w:val="en-US"/>
    </w:rPr>
  </w:style>
  <w:style w:type="paragraph" w:customStyle="1" w:styleId="BulletedList">
    <w:name w:val="Bulleted List"/>
    <w:basedOn w:val="Normal"/>
    <w:qFormat/>
    <w:rsid w:val="00A3007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ventscotland.org/funding-and-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ISAP\startup\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14</TotalTime>
  <Pages>6</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Sarah Cooke</cp:lastModifiedBy>
  <cp:revision>18</cp:revision>
  <dcterms:created xsi:type="dcterms:W3CDTF">2020-04-21T11:39:00Z</dcterms:created>
  <dcterms:modified xsi:type="dcterms:W3CDTF">2020-06-22T14:59:00Z</dcterms:modified>
</cp:coreProperties>
</file>