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3F" w:rsidRPr="00D61E56" w:rsidRDefault="001A393F" w:rsidP="001A393F">
      <w:pPr>
        <w:spacing w:line="360" w:lineRule="auto"/>
        <w:jc w:val="center"/>
        <w:rPr>
          <w:b/>
          <w:spacing w:val="10"/>
          <w:lang w:val="en-GB"/>
        </w:rPr>
      </w:pPr>
      <w:r w:rsidRPr="00D61E56">
        <w:rPr>
          <w:b/>
          <w:spacing w:val="10"/>
          <w:lang w:val="en-GB"/>
        </w:rPr>
        <w:t xml:space="preserve">Simplified </w:t>
      </w:r>
      <w:r>
        <w:rPr>
          <w:b/>
          <w:spacing w:val="10"/>
          <w:lang w:val="en-GB"/>
        </w:rPr>
        <w:t>t</w:t>
      </w:r>
      <w:r w:rsidRPr="00D61E56">
        <w:rPr>
          <w:b/>
          <w:spacing w:val="10"/>
          <w:lang w:val="en-GB"/>
        </w:rPr>
        <w:t xml:space="preserve">ranscription </w:t>
      </w:r>
      <w:r>
        <w:rPr>
          <w:b/>
          <w:spacing w:val="10"/>
          <w:lang w:val="en-GB"/>
        </w:rPr>
        <w:t>s</w:t>
      </w:r>
      <w:r w:rsidRPr="00D61E56">
        <w:rPr>
          <w:b/>
          <w:spacing w:val="10"/>
          <w:lang w:val="en-GB"/>
        </w:rPr>
        <w:t>ymbols</w:t>
      </w:r>
    </w:p>
    <w:tbl>
      <w:tblPr>
        <w:tblW w:w="41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751"/>
        <w:gridCol w:w="4615"/>
      </w:tblGrid>
      <w:tr w:rsidR="001A393F" w:rsidRPr="0023490A" w:rsidTr="006F61A8">
        <w:trPr>
          <w:jc w:val="center"/>
        </w:trPr>
        <w:tc>
          <w:tcPr>
            <w:tcW w:w="709" w:type="pct"/>
            <w:hideMark/>
          </w:tcPr>
          <w:p w:rsidR="001A393F" w:rsidRPr="00EA431D" w:rsidRDefault="001A393F" w:rsidP="006F61A8">
            <w:pPr>
              <w:tabs>
                <w:tab w:val="center" w:pos="2880"/>
                <w:tab w:val="center" w:pos="5040"/>
                <w:tab w:val="center" w:pos="7200"/>
              </w:tabs>
              <w:suppressAutoHyphens/>
              <w:spacing w:line="360" w:lineRule="auto"/>
              <w:jc w:val="both"/>
              <w:rPr>
                <w:i/>
                <w:lang w:val="en-GB"/>
              </w:rPr>
            </w:pPr>
            <w:r w:rsidRPr="00EA431D">
              <w:rPr>
                <w:i/>
                <w:lang w:val="en-GB"/>
              </w:rPr>
              <w:t>Symbol</w:t>
            </w:r>
          </w:p>
        </w:tc>
        <w:tc>
          <w:tcPr>
            <w:tcW w:w="1180" w:type="pct"/>
            <w:hideMark/>
          </w:tcPr>
          <w:p w:rsidR="001A393F" w:rsidRPr="00EA431D" w:rsidRDefault="001A393F" w:rsidP="006F61A8">
            <w:pPr>
              <w:tabs>
                <w:tab w:val="center" w:pos="2880"/>
                <w:tab w:val="center" w:pos="5040"/>
                <w:tab w:val="center" w:pos="7200"/>
              </w:tabs>
              <w:suppressAutoHyphens/>
              <w:spacing w:line="360" w:lineRule="auto"/>
              <w:jc w:val="both"/>
              <w:rPr>
                <w:i/>
                <w:lang w:val="en-GB"/>
              </w:rPr>
            </w:pPr>
            <w:r w:rsidRPr="00EA431D">
              <w:rPr>
                <w:i/>
                <w:lang w:val="en-GB"/>
              </w:rPr>
              <w:t>Example</w:t>
            </w:r>
          </w:p>
        </w:tc>
        <w:tc>
          <w:tcPr>
            <w:tcW w:w="3111" w:type="pct"/>
            <w:hideMark/>
          </w:tcPr>
          <w:p w:rsidR="001A393F" w:rsidRPr="00EA431D" w:rsidRDefault="001A393F" w:rsidP="006F61A8">
            <w:pPr>
              <w:tabs>
                <w:tab w:val="center" w:pos="2880"/>
                <w:tab w:val="center" w:pos="5040"/>
                <w:tab w:val="center" w:pos="7200"/>
              </w:tabs>
              <w:suppressAutoHyphens/>
              <w:spacing w:line="360" w:lineRule="auto"/>
              <w:jc w:val="both"/>
              <w:rPr>
                <w:i/>
                <w:lang w:val="en-GB"/>
              </w:rPr>
            </w:pPr>
            <w:r w:rsidRPr="00EA431D">
              <w:rPr>
                <w:i/>
                <w:lang w:val="en-GB"/>
              </w:rPr>
              <w:t>Explanation</w:t>
            </w:r>
          </w:p>
        </w:tc>
      </w:tr>
      <w:tr w:rsidR="001A393F" w:rsidRPr="00D61E56" w:rsidTr="006F61A8">
        <w:trPr>
          <w:jc w:val="center"/>
        </w:trPr>
        <w:tc>
          <w:tcPr>
            <w:tcW w:w="709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(0.5)</w:t>
            </w:r>
          </w:p>
        </w:tc>
        <w:tc>
          <w:tcPr>
            <w:tcW w:w="1180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proofErr w:type="gramStart"/>
            <w:r w:rsidRPr="004A1CF7">
              <w:rPr>
                <w:lang w:val="en-GB"/>
              </w:rPr>
              <w:t>that</w:t>
            </w:r>
            <w:proofErr w:type="gramEnd"/>
            <w:r w:rsidRPr="004A1CF7">
              <w:rPr>
                <w:lang w:val="en-GB"/>
              </w:rPr>
              <w:t xml:space="preserve"> (0.5) is odd?</w:t>
            </w:r>
          </w:p>
        </w:tc>
        <w:tc>
          <w:tcPr>
            <w:tcW w:w="3111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Length of silence measured in tenths of a second</w:t>
            </w:r>
          </w:p>
        </w:tc>
      </w:tr>
      <w:tr w:rsidR="001A393F" w:rsidRPr="00D61E56" w:rsidTr="006F61A8">
        <w:trPr>
          <w:jc w:val="center"/>
        </w:trPr>
        <w:tc>
          <w:tcPr>
            <w:tcW w:w="709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(.)</w:t>
            </w:r>
          </w:p>
        </w:tc>
        <w:tc>
          <w:tcPr>
            <w:tcW w:w="1180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right (.) okay</w:t>
            </w:r>
          </w:p>
        </w:tc>
        <w:tc>
          <w:tcPr>
            <w:tcW w:w="3111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Micro-pause, less than two-tenths of a second</w:t>
            </w:r>
          </w:p>
        </w:tc>
      </w:tr>
      <w:tr w:rsidR="001A393F" w:rsidRPr="00D61E56" w:rsidTr="006F61A8">
        <w:trPr>
          <w:jc w:val="center"/>
        </w:trPr>
        <w:tc>
          <w:tcPr>
            <w:tcW w:w="709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:::</w:t>
            </w:r>
          </w:p>
        </w:tc>
        <w:tc>
          <w:tcPr>
            <w:tcW w:w="1180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I:::: I don’t know</w:t>
            </w:r>
          </w:p>
        </w:tc>
        <w:tc>
          <w:tcPr>
            <w:tcW w:w="3111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Colons indicate sound-stretching of the immediately prior sound. The number of rows indicates the length of prolonged sound</w:t>
            </w:r>
          </w:p>
        </w:tc>
      </w:tr>
      <w:tr w:rsidR="001A393F" w:rsidRPr="00D61E56" w:rsidTr="006F61A8">
        <w:trPr>
          <w:jc w:val="center"/>
        </w:trPr>
        <w:tc>
          <w:tcPr>
            <w:tcW w:w="709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______</w:t>
            </w:r>
          </w:p>
        </w:tc>
        <w:tc>
          <w:tcPr>
            <w:tcW w:w="1180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I know that</w:t>
            </w:r>
          </w:p>
        </w:tc>
        <w:tc>
          <w:tcPr>
            <w:tcW w:w="3111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Underlining indicates speaker’s emphasis or stress</w:t>
            </w:r>
          </w:p>
        </w:tc>
      </w:tr>
      <w:tr w:rsidR="001A393F" w:rsidRPr="00D61E56" w:rsidTr="006F61A8">
        <w:trPr>
          <w:jc w:val="center"/>
        </w:trPr>
        <w:tc>
          <w:tcPr>
            <w:tcW w:w="709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[</w:t>
            </w:r>
          </w:p>
        </w:tc>
        <w:tc>
          <w:tcPr>
            <w:tcW w:w="1180" w:type="pct"/>
            <w:hideMark/>
          </w:tcPr>
          <w:p w:rsidR="001A393F" w:rsidRPr="00D61E56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T: [Well ‘</w:t>
            </w:r>
            <w:proofErr w:type="spellStart"/>
            <w:r w:rsidRPr="004A1CF7">
              <w:rPr>
                <w:lang w:val="en-GB"/>
              </w:rPr>
              <w:t>at’s</w:t>
            </w:r>
            <w:proofErr w:type="spellEnd"/>
            <w:r w:rsidRPr="004A1CF7">
              <w:rPr>
                <w:lang w:val="en-GB"/>
              </w:rPr>
              <w:t xml:space="preserve"> R:</w:t>
            </w:r>
          </w:p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 xml:space="preserve">  </w:t>
            </w:r>
            <w:r w:rsidRPr="004A1CF7">
              <w:rPr>
                <w:lang w:val="en-GB"/>
              </w:rPr>
              <w:t>[I mean really</w:t>
            </w:r>
          </w:p>
        </w:tc>
        <w:tc>
          <w:tcPr>
            <w:tcW w:w="3111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 xml:space="preserve">Left brackets indicate the point at which one speaker overlaps another’s talk </w:t>
            </w:r>
          </w:p>
        </w:tc>
      </w:tr>
      <w:tr w:rsidR="001A393F" w:rsidRPr="00D61E56" w:rsidTr="006F61A8">
        <w:trPr>
          <w:jc w:val="center"/>
        </w:trPr>
        <w:tc>
          <w:tcPr>
            <w:tcW w:w="709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=</w:t>
            </w:r>
          </w:p>
        </w:tc>
        <w:tc>
          <w:tcPr>
            <w:tcW w:w="1180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you know=that’s fine</w:t>
            </w:r>
          </w:p>
        </w:tc>
        <w:tc>
          <w:tcPr>
            <w:tcW w:w="3111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Equal signs indicates that there is no hearable gap between the words</w:t>
            </w:r>
          </w:p>
        </w:tc>
      </w:tr>
      <w:tr w:rsidR="001A393F" w:rsidRPr="00D61E56" w:rsidTr="006F61A8">
        <w:trPr>
          <w:jc w:val="center"/>
        </w:trPr>
        <w:tc>
          <w:tcPr>
            <w:tcW w:w="709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WORD</w:t>
            </w:r>
          </w:p>
        </w:tc>
        <w:tc>
          <w:tcPr>
            <w:tcW w:w="1180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about a MILLION</w:t>
            </w:r>
          </w:p>
        </w:tc>
        <w:tc>
          <w:tcPr>
            <w:tcW w:w="3111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Capitals, except at beginnings indicate a marked rise in volume compared to the surrounding talk</w:t>
            </w:r>
          </w:p>
        </w:tc>
      </w:tr>
      <w:tr w:rsidR="001A393F" w:rsidRPr="00D61E56" w:rsidTr="006F61A8">
        <w:trPr>
          <w:jc w:val="center"/>
        </w:trPr>
        <w:tc>
          <w:tcPr>
            <w:tcW w:w="709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?</w:t>
            </w:r>
          </w:p>
        </w:tc>
        <w:tc>
          <w:tcPr>
            <w:tcW w:w="1180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Oh really?</w:t>
            </w:r>
          </w:p>
        </w:tc>
        <w:tc>
          <w:tcPr>
            <w:tcW w:w="3111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 xml:space="preserve">Question mark indicates rising intonation </w:t>
            </w:r>
          </w:p>
        </w:tc>
      </w:tr>
      <w:tr w:rsidR="001A393F" w:rsidRPr="00D61E56" w:rsidTr="006F61A8">
        <w:trPr>
          <w:jc w:val="center"/>
        </w:trPr>
        <w:tc>
          <w:tcPr>
            <w:tcW w:w="709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.</w:t>
            </w:r>
          </w:p>
        </w:tc>
        <w:tc>
          <w:tcPr>
            <w:tcW w:w="1180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Yeah.</w:t>
            </w:r>
          </w:p>
        </w:tc>
        <w:tc>
          <w:tcPr>
            <w:tcW w:w="3111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Full stop indicates falling intonation</w:t>
            </w:r>
          </w:p>
        </w:tc>
      </w:tr>
      <w:tr w:rsidR="001A393F" w:rsidRPr="00D61E56" w:rsidTr="006F61A8">
        <w:trPr>
          <w:jc w:val="center"/>
        </w:trPr>
        <w:tc>
          <w:tcPr>
            <w:tcW w:w="709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proofErr w:type="spellStart"/>
            <w:r w:rsidRPr="004A1CF7">
              <w:rPr>
                <w:lang w:val="en-GB"/>
              </w:rPr>
              <w:t>hhh</w:t>
            </w:r>
            <w:proofErr w:type="spellEnd"/>
          </w:p>
        </w:tc>
        <w:tc>
          <w:tcPr>
            <w:tcW w:w="1180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 xml:space="preserve">I know </w:t>
            </w:r>
            <w:proofErr w:type="spellStart"/>
            <w:r w:rsidRPr="004A1CF7">
              <w:rPr>
                <w:lang w:val="en-GB"/>
              </w:rPr>
              <w:t>how.hhh</w:t>
            </w:r>
            <w:proofErr w:type="spellEnd"/>
            <w:r w:rsidRPr="004A1CF7">
              <w:rPr>
                <w:lang w:val="en-GB"/>
              </w:rPr>
              <w:t xml:space="preserve"> you</w:t>
            </w:r>
          </w:p>
        </w:tc>
        <w:tc>
          <w:tcPr>
            <w:tcW w:w="3111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 xml:space="preserve">A row of ‘h’s prefixed by a dot indicates an </w:t>
            </w:r>
            <w:proofErr w:type="spellStart"/>
            <w:r w:rsidRPr="004A1CF7">
              <w:rPr>
                <w:lang w:val="en-GB"/>
              </w:rPr>
              <w:t>inbreath</w:t>
            </w:r>
            <w:proofErr w:type="spellEnd"/>
            <w:r w:rsidRPr="004A1CF7">
              <w:rPr>
                <w:lang w:val="en-GB"/>
              </w:rPr>
              <w:t>, without dot, an outbreath. The number of ‘h’s indicates the length of the in- or out-breath</w:t>
            </w:r>
          </w:p>
        </w:tc>
      </w:tr>
      <w:tr w:rsidR="001A393F" w:rsidRPr="00D61E56" w:rsidTr="006F61A8">
        <w:trPr>
          <w:jc w:val="center"/>
        </w:trPr>
        <w:tc>
          <w:tcPr>
            <w:tcW w:w="709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( )</w:t>
            </w:r>
          </w:p>
        </w:tc>
        <w:tc>
          <w:tcPr>
            <w:tcW w:w="1180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What a ( ) thing</w:t>
            </w:r>
          </w:p>
        </w:tc>
        <w:tc>
          <w:tcPr>
            <w:tcW w:w="3111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Empty brackets indicate inability to hear what was said</w:t>
            </w:r>
          </w:p>
        </w:tc>
      </w:tr>
      <w:tr w:rsidR="001A393F" w:rsidRPr="00D61E56" w:rsidTr="006F61A8">
        <w:trPr>
          <w:jc w:val="center"/>
        </w:trPr>
        <w:tc>
          <w:tcPr>
            <w:tcW w:w="709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(word)</w:t>
            </w:r>
          </w:p>
        </w:tc>
        <w:tc>
          <w:tcPr>
            <w:tcW w:w="1180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What are you (doing)</w:t>
            </w:r>
          </w:p>
        </w:tc>
        <w:tc>
          <w:tcPr>
            <w:tcW w:w="3111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Word in brackets indicates the best possible hearing</w:t>
            </w:r>
          </w:p>
        </w:tc>
      </w:tr>
      <w:tr w:rsidR="001A393F" w:rsidRPr="00D61E56" w:rsidTr="006F61A8">
        <w:trPr>
          <w:jc w:val="center"/>
        </w:trPr>
        <w:tc>
          <w:tcPr>
            <w:tcW w:w="709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(( ))</w:t>
            </w:r>
          </w:p>
        </w:tc>
        <w:tc>
          <w:tcPr>
            <w:tcW w:w="1180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I don’t know ((shrugs))</w:t>
            </w:r>
          </w:p>
        </w:tc>
        <w:tc>
          <w:tcPr>
            <w:tcW w:w="3111" w:type="pct"/>
            <w:hideMark/>
          </w:tcPr>
          <w:p w:rsidR="001A393F" w:rsidRPr="004A1CF7" w:rsidRDefault="001A393F" w:rsidP="006F61A8">
            <w:pPr>
              <w:suppressAutoHyphens/>
              <w:spacing w:line="360" w:lineRule="auto"/>
              <w:jc w:val="both"/>
              <w:rPr>
                <w:lang w:val="en-GB"/>
              </w:rPr>
            </w:pPr>
            <w:r w:rsidRPr="004A1CF7">
              <w:rPr>
                <w:lang w:val="en-GB"/>
              </w:rPr>
              <w:t>Words in double brackets contain author’s descriptions</w:t>
            </w:r>
          </w:p>
        </w:tc>
      </w:tr>
    </w:tbl>
    <w:p w:rsidR="000943F5" w:rsidRDefault="000943F5">
      <w:bookmarkStart w:id="0" w:name="_GoBack"/>
      <w:bookmarkEnd w:id="0"/>
    </w:p>
    <w:sectPr w:rsidR="00094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F"/>
    <w:rsid w:val="000943F5"/>
    <w:rsid w:val="001A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78404-F6CC-4304-88D4-2A6F2D6F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93F"/>
    <w:pPr>
      <w:spacing w:before="120"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SAGE Publishing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Burger</dc:creator>
  <cp:keywords/>
  <dc:description/>
  <cp:lastModifiedBy>Judi Burger</cp:lastModifiedBy>
  <cp:revision>1</cp:revision>
  <dcterms:created xsi:type="dcterms:W3CDTF">2018-03-15T21:58:00Z</dcterms:created>
  <dcterms:modified xsi:type="dcterms:W3CDTF">2018-03-15T22:00:00Z</dcterms:modified>
</cp:coreProperties>
</file>