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CC9B" w14:textId="6C40197D" w:rsidR="00554F37" w:rsidRDefault="00554F37" w:rsidP="00043633">
      <w:pPr>
        <w:pStyle w:val="Title"/>
      </w:pPr>
      <w:r>
        <w:t>Online Resource</w:t>
      </w:r>
      <w:bookmarkStart w:id="0" w:name="_GoBack"/>
      <w:bookmarkEnd w:id="0"/>
    </w:p>
    <w:p w14:paraId="052BCC9C" w14:textId="77777777" w:rsidR="002F4370" w:rsidRDefault="002F4370">
      <w:pPr>
        <w:pStyle w:val="Heading1"/>
      </w:pPr>
      <w:r>
        <w:t>Chapter 3</w:t>
      </w:r>
      <w:r w:rsidR="00554F37">
        <w:t>: Variables</w:t>
      </w:r>
    </w:p>
    <w:p w14:paraId="052BCC9E" w14:textId="3988203A" w:rsidR="002F4370" w:rsidRDefault="009A5BC9" w:rsidP="002F4370">
      <w:pPr>
        <w:pStyle w:val="Heading2"/>
      </w:pPr>
      <w:r>
        <w:t xml:space="preserve">Normal </w:t>
      </w:r>
      <w:r w:rsidR="00031B36">
        <w:t>distribution</w:t>
      </w:r>
    </w:p>
    <w:p w14:paraId="052BCCA0" w14:textId="77777777" w:rsidR="002F4370" w:rsidRDefault="002F4370">
      <w:r>
        <w:t>Imagine you have a walk to the local supermarket. Every time a red car passes you, your happiness is increased slightly. Every time a white car passes you, your happiness is decreased slightly. Every time, a passer-by smiles at you, you get slightly happier; a</w:t>
      </w:r>
      <w:r w:rsidR="000B0796">
        <w:t>nd you get</w:t>
      </w:r>
      <w:r>
        <w:t xml:space="preserve"> slightly grumpier every time a passer-by ignores you. Every time you see a flower, you feel slightly happier; every time you see a nettle, you feel slightly less happy.</w:t>
      </w:r>
    </w:p>
    <w:p w14:paraId="052BCCA2" w14:textId="77777777" w:rsidR="002F4370" w:rsidRDefault="002F4370" w:rsidP="00043633">
      <w:pPr>
        <w:ind w:firstLine="540"/>
      </w:pPr>
      <w:r>
        <w:t xml:space="preserve">At the end of your walk, your happiness level will be the product of hundreds of small, independent random nudges one way or the other. </w:t>
      </w:r>
      <w:r w:rsidR="00DF7502">
        <w:t>Due to the rules of mathematics</w:t>
      </w:r>
      <w:r w:rsidR="00F97F54">
        <w:t xml:space="preserve"> (the Central Limit Theorem)</w:t>
      </w:r>
      <w:r>
        <w:t xml:space="preserve">, </w:t>
      </w:r>
      <w:r w:rsidR="00DF7502">
        <w:t>these nudges</w:t>
      </w:r>
      <w:r>
        <w:t xml:space="preserve"> will </w:t>
      </w:r>
      <w:r w:rsidR="00F97F54">
        <w:t xml:space="preserve">combine to produce </w:t>
      </w:r>
      <w:r>
        <w:t>a normal distribution</w:t>
      </w:r>
      <w:r w:rsidR="00F97F54">
        <w:t xml:space="preserve"> of happiness</w:t>
      </w:r>
      <w:r>
        <w:t>. A normal distribution is the consequence of the combined effects of lots of independent causes.</w:t>
      </w:r>
    </w:p>
    <w:p w14:paraId="052BCCA5" w14:textId="1642E15C" w:rsidR="00031B36" w:rsidRDefault="002F4370" w:rsidP="00554F37">
      <w:pPr>
        <w:ind w:firstLine="540"/>
      </w:pPr>
      <w:r>
        <w:t>A normal distribution is completely described by two numbers: its mean and its standard deviation. Our example allows us to see why.</w:t>
      </w:r>
    </w:p>
    <w:p w14:paraId="052BCCA8" w14:textId="0A5352ED" w:rsidR="00031B36" w:rsidRDefault="002F4370" w:rsidP="00554F37">
      <w:pPr>
        <w:ind w:firstLine="540"/>
      </w:pPr>
      <w:r w:rsidRPr="00780AE0">
        <w:rPr>
          <w:b/>
        </w:rPr>
        <w:t>Mean</w:t>
      </w:r>
      <w:r>
        <w:rPr>
          <w:b/>
        </w:rPr>
        <w:t xml:space="preserve">: </w:t>
      </w:r>
      <w:r>
        <w:t>If we had hundreds of different people walking that journey at different times, then the average happiness would be fixed by the ratio of red to white cars, whether passers-by are typically smilers and how well people tend their gardens. These fix the mean happiness at the end of the walk.</w:t>
      </w:r>
    </w:p>
    <w:p w14:paraId="052BCCAA" w14:textId="3C064F74" w:rsidR="002F4370" w:rsidRPr="00DC679C" w:rsidRDefault="002F4370" w:rsidP="00043633">
      <w:pPr>
        <w:ind w:firstLine="540"/>
      </w:pPr>
      <w:r w:rsidRPr="00780AE0">
        <w:rPr>
          <w:b/>
        </w:rPr>
        <w:t xml:space="preserve">Standard </w:t>
      </w:r>
      <w:r w:rsidR="0025441D">
        <w:rPr>
          <w:b/>
        </w:rPr>
        <w:t>d</w:t>
      </w:r>
      <w:r w:rsidR="0025441D" w:rsidRPr="00780AE0">
        <w:rPr>
          <w:b/>
        </w:rPr>
        <w:t>eviation</w:t>
      </w:r>
      <w:r>
        <w:rPr>
          <w:b/>
        </w:rPr>
        <w:t xml:space="preserve">: </w:t>
      </w:r>
      <w:r>
        <w:t xml:space="preserve">The only other aspect of the situation that matters is just how many cars, how many people, how many gardens are passed. Each of these determines how what the spread of </w:t>
      </w:r>
      <w:r w:rsidR="00052C5F">
        <w:t>so-called “</w:t>
      </w:r>
      <w:r>
        <w:t>happinesses</w:t>
      </w:r>
      <w:r w:rsidR="00052C5F">
        <w:t>”</w:t>
      </w:r>
      <w:r>
        <w:t xml:space="preserve"> could be. If the journey only ever involves 2 cars, 1 passer-by and 1 garden</w:t>
      </w:r>
      <w:r w:rsidR="003446C5">
        <w:t>,</w:t>
      </w:r>
      <w:r>
        <w:t xml:space="preserve"> </w:t>
      </w:r>
      <w:r w:rsidR="003446C5">
        <w:t>t</w:t>
      </w:r>
      <w:r>
        <w:t>hen it is impossible to become more elated or grumpy than 4 (2+1+1) nudges either side of neutral. If the journey involves 200 cars, 75 passers-by and 42 gardens, then in theory you could be extremely lucky and get 317 positive nudges (200+75+42) or extremely unlucky and get 317 negative nudges. The range of “happinesses” that are produced depends on the number of different factors causing it.</w:t>
      </w:r>
    </w:p>
    <w:p w14:paraId="052BCCAC" w14:textId="77777777" w:rsidR="002F4370" w:rsidRDefault="002F4370" w:rsidP="00043633">
      <w:pPr>
        <w:ind w:firstLine="540"/>
      </w:pPr>
      <w:r>
        <w:t>For this reason, the normal distribution only has two parameters: the mean and the standard deviation. The formula for it is this:</w:t>
      </w:r>
    </w:p>
    <w:p w14:paraId="052BCCAD" w14:textId="77777777" w:rsidR="002F4370" w:rsidRDefault="00E32B1F" w:rsidP="00E32B1F">
      <w:pPr>
        <w:pStyle w:val="MTDisplayEquation"/>
        <w:rPr>
          <w:rFonts w:ascii="Calibri" w:hAnsi="Calibri"/>
          <w:color w:val="000000" w:themeColor="text1"/>
        </w:rPr>
      </w:pPr>
      <w:bookmarkStart w:id="1" w:name="MTBlankEqn"/>
      <w:r>
        <w:lastRenderedPageBreak/>
        <w:tab/>
      </w:r>
      <w:r w:rsidRPr="00E32B1F">
        <w:rPr>
          <w:position w:val="-14"/>
        </w:rPr>
        <w:object w:dxaOrig="2299" w:dyaOrig="620" w14:anchorId="052BC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30.55pt" o:ole="">
            <v:imagedata r:id="rId8" o:title=""/>
          </v:shape>
          <o:OLEObject Type="Embed" ProgID="Equation.DSMT4" ShapeID="_x0000_i1025" DrawAspect="Content" ObjectID="_1619010634" r:id="rId9"/>
        </w:object>
      </w:r>
      <w:bookmarkEnd w:id="1"/>
    </w:p>
    <w:p w14:paraId="052BCCAF" w14:textId="3C1D9B50" w:rsidR="002F4370" w:rsidRDefault="002F4370" w:rsidP="00043633">
      <w:pPr>
        <w:ind w:firstLine="540"/>
      </w:pPr>
      <w:r>
        <w:t xml:space="preserve">In this formula, </w:t>
      </w:r>
      <w:r w:rsidRPr="00043633">
        <w:rPr>
          <w:i/>
        </w:rPr>
        <w:t>x</w:t>
      </w:r>
      <w:r>
        <w:t xml:space="preserve"> is any value we might be interested in; </w:t>
      </w:r>
      <w:r w:rsidRPr="00043633">
        <w:rPr>
          <w:i/>
        </w:rPr>
        <w:t>e</w:t>
      </w:r>
      <w:r>
        <w:t xml:space="preserve"> is a constant 2.718, </w:t>
      </w:r>
      <w:r w:rsidRPr="00043633">
        <w:rPr>
          <w:i/>
        </w:rPr>
        <w:sym w:font="Symbol" w:char="F06D"/>
      </w:r>
      <w:r>
        <w:t xml:space="preserve"> is the mean of the distribution and </w:t>
      </w:r>
      <w:r w:rsidRPr="00043633">
        <w:rPr>
          <w:i/>
        </w:rPr>
        <w:sym w:font="Symbol" w:char="F073"/>
      </w:r>
      <w:r>
        <w:t xml:space="preserve"> is the standard deviation.</w:t>
      </w:r>
    </w:p>
    <w:p w14:paraId="052BCCB4" w14:textId="040A5D68" w:rsidR="00031B36" w:rsidRDefault="009A5BC9" w:rsidP="002F4370">
      <w:pPr>
        <w:pStyle w:val="Heading2"/>
      </w:pPr>
      <w:r>
        <w:t xml:space="preserve">Skewed </w:t>
      </w:r>
      <w:r w:rsidR="00554F37">
        <w:t>distributions</w:t>
      </w:r>
    </w:p>
    <w:p w14:paraId="052BCCB7" w14:textId="5FEDBC7A" w:rsidR="00031B36" w:rsidRDefault="002F4370" w:rsidP="002F4370">
      <w:r>
        <w:t xml:space="preserve">A skewed distribution is often encountered in statistical textbooks, as we have </w:t>
      </w:r>
      <w:r w:rsidR="007C2651">
        <w:t xml:space="preserve">ourselves </w:t>
      </w:r>
      <w:r>
        <w:t xml:space="preserve">included </w:t>
      </w:r>
      <w:r w:rsidR="007C2651">
        <w:t xml:space="preserve">one </w:t>
      </w:r>
      <w:r>
        <w:t>in Figure 3.7. The explanation of a normal distribution, which has no skew, is very simple and universal. The existence of skewed distributions appears to spoil things.</w:t>
      </w:r>
    </w:p>
    <w:p w14:paraId="052BCCB9" w14:textId="77777777" w:rsidR="002F4370" w:rsidRDefault="002F4370" w:rsidP="00043633">
      <w:pPr>
        <w:ind w:firstLine="540"/>
      </w:pPr>
      <w:r>
        <w:t>Our first thought might be that skew could happen if the positive nudges were all stronger than the negative nudges. This doesn’t produce any skew – it just shifts the mean happiness upwards.</w:t>
      </w:r>
    </w:p>
    <w:p w14:paraId="052BCCBC" w14:textId="06475886" w:rsidR="00031B36" w:rsidRDefault="002F4370" w:rsidP="00554F37">
      <w:pPr>
        <w:ind w:firstLine="540"/>
      </w:pPr>
      <w:r>
        <w:t>Our next thought does produce skew: that the nudge you get from a positive event has more effect the more happy you are at that moment. If I have had 1 positive nudge, then getting another one lifts my happiness from 1 to 2.2 (an increase of 1.2 rather than 1) and then if I get another, my happiness score goes up from 2.2 to 3.4 (an increase of 1.4).</w:t>
      </w:r>
    </w:p>
    <w:p w14:paraId="052BCCBE" w14:textId="77777777" w:rsidR="002F4370" w:rsidRDefault="002F4370" w:rsidP="00043633">
      <w:pPr>
        <w:ind w:firstLine="540"/>
      </w:pPr>
      <w:r>
        <w:t>If this is what is happening, then we can say that happiness is a skewed variable.</w:t>
      </w:r>
    </w:p>
    <w:p w14:paraId="052BCCC1" w14:textId="5C7E23A2" w:rsidR="00031B36" w:rsidRDefault="002F4370" w:rsidP="00554F37">
      <w:pPr>
        <w:ind w:firstLine="540"/>
      </w:pPr>
      <w:r>
        <w:t>One last thought leads to something different. Don’t forget that to measure what is happening here, we are asking people how happy they feel. We can produce a skewed distribution of measurements very easily just by supposing that the feeling of being happy produces that multiplying effect. After all, they were walking to a supermarket: feeling more happy when you arrive is fairly noteworthy.</w:t>
      </w:r>
    </w:p>
    <w:p w14:paraId="052BCCC3" w14:textId="77777777" w:rsidR="002F4370" w:rsidRDefault="002F4370" w:rsidP="00043633">
      <w:pPr>
        <w:ind w:firstLine="540"/>
      </w:pPr>
      <w:r>
        <w:t>If that is what is happening, then we can say that our measurement skews the distribution of happiness.</w:t>
      </w:r>
    </w:p>
    <w:p w14:paraId="052BCCC6" w14:textId="1FEF9A13" w:rsidR="00031B36" w:rsidRDefault="002F4370" w:rsidP="00554F37">
      <w:pPr>
        <w:ind w:firstLine="540"/>
      </w:pPr>
      <w:r>
        <w:t>Later on, resources linked to Chapter 9 will show ways to convert a skewed distribution into a more symmetric one.</w:t>
      </w:r>
    </w:p>
    <w:p w14:paraId="052BCCC9" w14:textId="5BC558EA" w:rsidR="00031B36" w:rsidRDefault="002F4370" w:rsidP="002F4370">
      <w:pPr>
        <w:pStyle w:val="Heading2"/>
      </w:pPr>
      <w:r>
        <w:t xml:space="preserve">Extra </w:t>
      </w:r>
      <w:r w:rsidR="00554F37">
        <w:t>activity</w:t>
      </w:r>
    </w:p>
    <w:p w14:paraId="052BCCCB" w14:textId="77777777" w:rsidR="002F4370" w:rsidRPr="00902A8C" w:rsidRDefault="002F4370" w:rsidP="002F4370">
      <w:pPr>
        <w:rPr>
          <w:i/>
        </w:rPr>
      </w:pPr>
      <w:r>
        <w:rPr>
          <w:i/>
        </w:rPr>
        <w:t>Could be a randomised series of flashcards with multiple choice answers. Could simply be a long table to fill out and box goes green if correct answer is entered. Provide the variable name, and the method, and students pick the type.</w:t>
      </w:r>
    </w:p>
    <w:p w14:paraId="052BCCCD" w14:textId="77777777" w:rsidR="002F4370" w:rsidRDefault="002F4370" w:rsidP="002F4370">
      <w:pPr>
        <w:rPr>
          <w:b/>
        </w:rPr>
      </w:pPr>
      <w:r w:rsidRPr="00717A6B">
        <w:rPr>
          <w:b/>
        </w:rPr>
        <w:t>Identify the variable type for each of the</w:t>
      </w:r>
      <w:r>
        <w:rPr>
          <w:b/>
        </w:rPr>
        <w:t xml:space="preserve"> listed variables</w:t>
      </w:r>
      <w:r w:rsidRPr="00717A6B">
        <w:rPr>
          <w:b/>
        </w:rPr>
        <w:t>:</w:t>
      </w:r>
    </w:p>
    <w:tbl>
      <w:tblPr>
        <w:tblStyle w:val="TableGrid"/>
        <w:tblW w:w="0" w:type="auto"/>
        <w:tblLayout w:type="fixed"/>
        <w:tblLook w:val="04A0" w:firstRow="1" w:lastRow="0" w:firstColumn="1" w:lastColumn="0" w:noHBand="0" w:noVBand="1"/>
      </w:tblPr>
      <w:tblGrid>
        <w:gridCol w:w="2675"/>
        <w:gridCol w:w="2128"/>
        <w:gridCol w:w="3135"/>
      </w:tblGrid>
      <w:tr w:rsidR="002F4370" w:rsidRPr="00E34CC2" w14:paraId="052BCCD3" w14:textId="77777777" w:rsidTr="00043633">
        <w:tc>
          <w:tcPr>
            <w:tcW w:w="2675" w:type="dxa"/>
          </w:tcPr>
          <w:p w14:paraId="052BCCCF" w14:textId="77777777" w:rsidR="002F4370" w:rsidRPr="00E34CC2" w:rsidRDefault="002F4370" w:rsidP="00135516">
            <w:pPr>
              <w:jc w:val="center"/>
              <w:rPr>
                <w:b/>
              </w:rPr>
            </w:pPr>
            <w:r w:rsidRPr="00E34CC2">
              <w:rPr>
                <w:b/>
              </w:rPr>
              <w:lastRenderedPageBreak/>
              <w:t>Variable</w:t>
            </w:r>
          </w:p>
        </w:tc>
        <w:tc>
          <w:tcPr>
            <w:tcW w:w="2128" w:type="dxa"/>
          </w:tcPr>
          <w:p w14:paraId="052BCCD0" w14:textId="77777777" w:rsidR="002F4370" w:rsidRPr="00E34CC2" w:rsidRDefault="002F4370" w:rsidP="00135516">
            <w:pPr>
              <w:jc w:val="center"/>
              <w:rPr>
                <w:b/>
              </w:rPr>
            </w:pPr>
            <w:r w:rsidRPr="00E34CC2">
              <w:rPr>
                <w:b/>
              </w:rPr>
              <w:t>Method</w:t>
            </w:r>
          </w:p>
        </w:tc>
        <w:tc>
          <w:tcPr>
            <w:tcW w:w="3135" w:type="dxa"/>
          </w:tcPr>
          <w:p w14:paraId="052BCCD1" w14:textId="58E773CD" w:rsidR="002F4370" w:rsidRDefault="002F4370" w:rsidP="00135516">
            <w:pPr>
              <w:jc w:val="center"/>
              <w:rPr>
                <w:b/>
              </w:rPr>
            </w:pPr>
            <w:r w:rsidRPr="00E34CC2">
              <w:rPr>
                <w:b/>
              </w:rPr>
              <w:t xml:space="preserve">Type of </w:t>
            </w:r>
            <w:r w:rsidR="00554F37">
              <w:rPr>
                <w:b/>
              </w:rPr>
              <w:t>m</w:t>
            </w:r>
            <w:r w:rsidR="00554F37" w:rsidRPr="00E34CC2">
              <w:rPr>
                <w:b/>
              </w:rPr>
              <w:t>easurement</w:t>
            </w:r>
            <w:r w:rsidRPr="00E34CC2">
              <w:rPr>
                <w:b/>
              </w:rPr>
              <w:t>?</w:t>
            </w:r>
          </w:p>
          <w:p w14:paraId="052BCCD2" w14:textId="6D10BA08" w:rsidR="002F4370" w:rsidRPr="00961170" w:rsidRDefault="002F4370">
            <w:pPr>
              <w:jc w:val="center"/>
              <w:rPr>
                <w:i/>
              </w:rPr>
            </w:pPr>
            <w:r w:rsidRPr="00961170">
              <w:rPr>
                <w:i/>
                <w:sz w:val="22"/>
              </w:rPr>
              <w:t>Interval/</w:t>
            </w:r>
            <w:r w:rsidR="0025441D">
              <w:rPr>
                <w:i/>
                <w:sz w:val="22"/>
              </w:rPr>
              <w:t>c</w:t>
            </w:r>
            <w:r w:rsidR="0025441D" w:rsidRPr="00961170">
              <w:rPr>
                <w:i/>
                <w:sz w:val="22"/>
              </w:rPr>
              <w:t>ategorical</w:t>
            </w:r>
            <w:r w:rsidRPr="00961170">
              <w:rPr>
                <w:i/>
                <w:sz w:val="22"/>
              </w:rPr>
              <w:t>/</w:t>
            </w:r>
            <w:r w:rsidR="0025441D">
              <w:rPr>
                <w:i/>
                <w:sz w:val="22"/>
              </w:rPr>
              <w:t>o</w:t>
            </w:r>
            <w:r w:rsidR="0025441D" w:rsidRPr="00961170">
              <w:rPr>
                <w:i/>
                <w:sz w:val="22"/>
              </w:rPr>
              <w:t>rdinal</w:t>
            </w:r>
          </w:p>
        </w:tc>
      </w:tr>
      <w:tr w:rsidR="002F4370" w14:paraId="052BCCD7" w14:textId="77777777" w:rsidTr="00043633">
        <w:tc>
          <w:tcPr>
            <w:tcW w:w="2675" w:type="dxa"/>
          </w:tcPr>
          <w:p w14:paraId="052BCCD4" w14:textId="4BDAF95F" w:rsidR="002F4370" w:rsidRDefault="002F4370">
            <w:r>
              <w:t xml:space="preserve">Drug </w:t>
            </w:r>
            <w:r w:rsidR="00554F37">
              <w:t>trial type</w:t>
            </w:r>
          </w:p>
        </w:tc>
        <w:tc>
          <w:tcPr>
            <w:tcW w:w="2128" w:type="dxa"/>
          </w:tcPr>
          <w:p w14:paraId="052BCCD5" w14:textId="77777777" w:rsidR="002F4370" w:rsidRDefault="002F4370" w:rsidP="00135516">
            <w:r>
              <w:t>Organised into control and experimental groups</w:t>
            </w:r>
          </w:p>
        </w:tc>
        <w:tc>
          <w:tcPr>
            <w:tcW w:w="3135" w:type="dxa"/>
          </w:tcPr>
          <w:p w14:paraId="052BCCD6" w14:textId="77777777" w:rsidR="002F4370" w:rsidRPr="00450757" w:rsidRDefault="002F4370" w:rsidP="00135516">
            <w:pPr>
              <w:rPr>
                <w:color w:val="7030A0"/>
              </w:rPr>
            </w:pPr>
            <w:r>
              <w:rPr>
                <w:color w:val="7030A0"/>
              </w:rPr>
              <w:t>Categorical</w:t>
            </w:r>
          </w:p>
        </w:tc>
      </w:tr>
      <w:tr w:rsidR="002F4370" w14:paraId="052BCCDB" w14:textId="77777777" w:rsidTr="00043633">
        <w:tc>
          <w:tcPr>
            <w:tcW w:w="2675" w:type="dxa"/>
          </w:tcPr>
          <w:p w14:paraId="052BCCD8" w14:textId="7784FE0C" w:rsidR="002F4370" w:rsidRDefault="002F4370">
            <w:r>
              <w:t xml:space="preserve">Arctic </w:t>
            </w:r>
            <w:r w:rsidR="00554F37">
              <w:t>ice melt</w:t>
            </w:r>
          </w:p>
        </w:tc>
        <w:tc>
          <w:tcPr>
            <w:tcW w:w="2128" w:type="dxa"/>
          </w:tcPr>
          <w:p w14:paraId="052BCCD9" w14:textId="77777777" w:rsidR="002F4370" w:rsidRDefault="002F4370" w:rsidP="00135516">
            <w:r>
              <w:t xml:space="preserve">Measured in </w:t>
            </w:r>
            <w:r w:rsidR="00C60132">
              <w:t xml:space="preserve">centimetres </w:t>
            </w:r>
          </w:p>
        </w:tc>
        <w:tc>
          <w:tcPr>
            <w:tcW w:w="3135" w:type="dxa"/>
          </w:tcPr>
          <w:p w14:paraId="052BCCDA" w14:textId="77777777" w:rsidR="002F4370" w:rsidRPr="00450757" w:rsidRDefault="002F4370" w:rsidP="00135516">
            <w:pPr>
              <w:rPr>
                <w:color w:val="7030A0"/>
              </w:rPr>
            </w:pPr>
            <w:r>
              <w:rPr>
                <w:color w:val="7030A0"/>
              </w:rPr>
              <w:t>Interval</w:t>
            </w:r>
          </w:p>
        </w:tc>
      </w:tr>
      <w:tr w:rsidR="002F4370" w14:paraId="052BCCDF" w14:textId="77777777" w:rsidTr="00043633">
        <w:tc>
          <w:tcPr>
            <w:tcW w:w="2675" w:type="dxa"/>
          </w:tcPr>
          <w:p w14:paraId="052BCCDC" w14:textId="44130CA4" w:rsidR="002F4370" w:rsidRDefault="002F4370">
            <w:r>
              <w:t xml:space="preserve">Class </w:t>
            </w:r>
            <w:r w:rsidR="00554F37">
              <w:t>ranking</w:t>
            </w:r>
          </w:p>
        </w:tc>
        <w:tc>
          <w:tcPr>
            <w:tcW w:w="2128" w:type="dxa"/>
          </w:tcPr>
          <w:p w14:paraId="052BCCDD" w14:textId="77777777" w:rsidR="002F4370" w:rsidRDefault="002F4370" w:rsidP="00135516">
            <w:r>
              <w:t>Students arranged by their academic position in the class</w:t>
            </w:r>
          </w:p>
        </w:tc>
        <w:tc>
          <w:tcPr>
            <w:tcW w:w="3135" w:type="dxa"/>
          </w:tcPr>
          <w:p w14:paraId="052BCCDE" w14:textId="77777777" w:rsidR="002F4370" w:rsidRDefault="002F4370" w:rsidP="00135516">
            <w:pPr>
              <w:rPr>
                <w:color w:val="7030A0"/>
              </w:rPr>
            </w:pPr>
            <w:r>
              <w:rPr>
                <w:color w:val="7030A0"/>
              </w:rPr>
              <w:t>Ordinal</w:t>
            </w:r>
          </w:p>
        </w:tc>
      </w:tr>
      <w:tr w:rsidR="002F4370" w14:paraId="052BCCE3" w14:textId="77777777" w:rsidTr="00043633">
        <w:tc>
          <w:tcPr>
            <w:tcW w:w="2675" w:type="dxa"/>
          </w:tcPr>
          <w:p w14:paraId="052BCCE0" w14:textId="29D8DA34" w:rsidR="002F4370" w:rsidRDefault="002F4370">
            <w:r>
              <w:t xml:space="preserve">Eyewitness </w:t>
            </w:r>
            <w:r w:rsidR="00554F37">
              <w:t>recognition</w:t>
            </w:r>
          </w:p>
        </w:tc>
        <w:tc>
          <w:tcPr>
            <w:tcW w:w="2128" w:type="dxa"/>
          </w:tcPr>
          <w:p w14:paraId="052BCCE1" w14:textId="77777777" w:rsidR="002F4370" w:rsidRDefault="002F4370" w:rsidP="00135516">
            <w:r>
              <w:t>Number of attributes recognised</w:t>
            </w:r>
          </w:p>
        </w:tc>
        <w:tc>
          <w:tcPr>
            <w:tcW w:w="3135" w:type="dxa"/>
          </w:tcPr>
          <w:p w14:paraId="052BCCE2" w14:textId="77777777" w:rsidR="002F4370" w:rsidRDefault="002F4370" w:rsidP="00135516">
            <w:pPr>
              <w:rPr>
                <w:color w:val="7030A0"/>
              </w:rPr>
            </w:pPr>
            <w:r>
              <w:rPr>
                <w:color w:val="7030A0"/>
              </w:rPr>
              <w:t>Interval</w:t>
            </w:r>
          </w:p>
        </w:tc>
      </w:tr>
      <w:tr w:rsidR="002F4370" w14:paraId="052BCCE7" w14:textId="77777777" w:rsidTr="00043633">
        <w:tc>
          <w:tcPr>
            <w:tcW w:w="2675" w:type="dxa"/>
          </w:tcPr>
          <w:p w14:paraId="052BCCE4" w14:textId="7F37C292" w:rsidR="002F4370" w:rsidRDefault="002F4370">
            <w:r>
              <w:t xml:space="preserve">Weight </w:t>
            </w:r>
            <w:r w:rsidR="00554F37">
              <w:t>loss</w:t>
            </w:r>
          </w:p>
        </w:tc>
        <w:tc>
          <w:tcPr>
            <w:tcW w:w="2128" w:type="dxa"/>
          </w:tcPr>
          <w:p w14:paraId="052BCCE5" w14:textId="77777777" w:rsidR="002F4370" w:rsidRDefault="002F4370" w:rsidP="00135516">
            <w:r>
              <w:t xml:space="preserve">Measured in </w:t>
            </w:r>
            <w:r w:rsidR="00C60132">
              <w:t>kilograms</w:t>
            </w:r>
          </w:p>
        </w:tc>
        <w:tc>
          <w:tcPr>
            <w:tcW w:w="3135" w:type="dxa"/>
          </w:tcPr>
          <w:p w14:paraId="052BCCE6" w14:textId="77777777" w:rsidR="002F4370" w:rsidRDefault="002F4370" w:rsidP="00135516">
            <w:pPr>
              <w:rPr>
                <w:color w:val="7030A0"/>
              </w:rPr>
            </w:pPr>
            <w:r>
              <w:rPr>
                <w:color w:val="7030A0"/>
              </w:rPr>
              <w:t>Interval</w:t>
            </w:r>
          </w:p>
        </w:tc>
      </w:tr>
      <w:tr w:rsidR="002F4370" w14:paraId="052BCCEB" w14:textId="77777777" w:rsidTr="00043633">
        <w:tc>
          <w:tcPr>
            <w:tcW w:w="2675" w:type="dxa"/>
          </w:tcPr>
          <w:p w14:paraId="052BCCE8" w14:textId="19305866" w:rsidR="002F4370" w:rsidRDefault="002F4370">
            <w:r>
              <w:t xml:space="preserve">Scenario </w:t>
            </w:r>
            <w:r w:rsidR="00554F37">
              <w:t>type</w:t>
            </w:r>
          </w:p>
        </w:tc>
        <w:tc>
          <w:tcPr>
            <w:tcW w:w="2128" w:type="dxa"/>
          </w:tcPr>
          <w:p w14:paraId="052BCCE9" w14:textId="77777777" w:rsidR="002F4370" w:rsidRDefault="002F4370" w:rsidP="00135516">
            <w:r>
              <w:t>Participants first experience one scenario, and then another</w:t>
            </w:r>
          </w:p>
        </w:tc>
        <w:tc>
          <w:tcPr>
            <w:tcW w:w="3135" w:type="dxa"/>
          </w:tcPr>
          <w:p w14:paraId="052BCCEA" w14:textId="77777777" w:rsidR="002F4370" w:rsidRDefault="002F4370" w:rsidP="00135516">
            <w:pPr>
              <w:rPr>
                <w:color w:val="7030A0"/>
              </w:rPr>
            </w:pPr>
            <w:r>
              <w:rPr>
                <w:color w:val="7030A0"/>
              </w:rPr>
              <w:t>Categorical</w:t>
            </w:r>
          </w:p>
        </w:tc>
      </w:tr>
      <w:tr w:rsidR="002F4370" w14:paraId="052BCCEF" w14:textId="77777777" w:rsidTr="00043633">
        <w:tc>
          <w:tcPr>
            <w:tcW w:w="2675" w:type="dxa"/>
          </w:tcPr>
          <w:p w14:paraId="052BCCEC" w14:textId="77777777" w:rsidR="002F4370" w:rsidRDefault="002F4370" w:rsidP="00135516">
            <w:r>
              <w:t>Diet</w:t>
            </w:r>
          </w:p>
        </w:tc>
        <w:tc>
          <w:tcPr>
            <w:tcW w:w="2128" w:type="dxa"/>
          </w:tcPr>
          <w:p w14:paraId="052BCCED" w14:textId="77777777" w:rsidR="002F4370" w:rsidRDefault="002F4370" w:rsidP="00135516">
            <w:r>
              <w:t xml:space="preserve">Low-carb, low-fat, Mediterranean </w:t>
            </w:r>
          </w:p>
        </w:tc>
        <w:tc>
          <w:tcPr>
            <w:tcW w:w="3135" w:type="dxa"/>
          </w:tcPr>
          <w:p w14:paraId="052BCCEE" w14:textId="77777777" w:rsidR="002F4370" w:rsidRDefault="002F4370" w:rsidP="00135516">
            <w:pPr>
              <w:rPr>
                <w:color w:val="7030A0"/>
              </w:rPr>
            </w:pPr>
            <w:r>
              <w:rPr>
                <w:color w:val="7030A0"/>
              </w:rPr>
              <w:t>Categorical</w:t>
            </w:r>
          </w:p>
        </w:tc>
      </w:tr>
      <w:tr w:rsidR="002F4370" w14:paraId="052BCCF3" w14:textId="77777777" w:rsidTr="00043633">
        <w:tc>
          <w:tcPr>
            <w:tcW w:w="2675" w:type="dxa"/>
          </w:tcPr>
          <w:p w14:paraId="052BCCF0" w14:textId="77777777" w:rsidR="002F4370" w:rsidRDefault="002F4370" w:rsidP="00135516">
            <w:r>
              <w:t>Memory</w:t>
            </w:r>
          </w:p>
        </w:tc>
        <w:tc>
          <w:tcPr>
            <w:tcW w:w="2128" w:type="dxa"/>
          </w:tcPr>
          <w:p w14:paraId="052BCCF1" w14:textId="77777777" w:rsidR="002F4370" w:rsidRDefault="002F4370" w:rsidP="00135516">
            <w:r>
              <w:t>Items remembered on a tray</w:t>
            </w:r>
          </w:p>
        </w:tc>
        <w:tc>
          <w:tcPr>
            <w:tcW w:w="3135" w:type="dxa"/>
          </w:tcPr>
          <w:p w14:paraId="052BCCF2" w14:textId="77777777" w:rsidR="002F4370" w:rsidRDefault="002F4370" w:rsidP="00135516">
            <w:pPr>
              <w:rPr>
                <w:color w:val="7030A0"/>
              </w:rPr>
            </w:pPr>
            <w:r>
              <w:rPr>
                <w:color w:val="7030A0"/>
              </w:rPr>
              <w:t>Interval</w:t>
            </w:r>
          </w:p>
        </w:tc>
      </w:tr>
      <w:tr w:rsidR="002F4370" w14:paraId="052BCCF7" w14:textId="77777777" w:rsidTr="00043633">
        <w:tc>
          <w:tcPr>
            <w:tcW w:w="2675" w:type="dxa"/>
          </w:tcPr>
          <w:p w14:paraId="052BCCF4" w14:textId="3AFA1E94" w:rsidR="002F4370" w:rsidRDefault="002F4370">
            <w:r>
              <w:t>Self-</w:t>
            </w:r>
            <w:r w:rsidR="00554F37">
              <w:t>rated stress</w:t>
            </w:r>
          </w:p>
        </w:tc>
        <w:tc>
          <w:tcPr>
            <w:tcW w:w="2128" w:type="dxa"/>
          </w:tcPr>
          <w:p w14:paraId="052BCCF5" w14:textId="77777777" w:rsidR="002F4370" w:rsidRDefault="002F4370" w:rsidP="00135516">
            <w:r>
              <w:t>Likert scale</w:t>
            </w:r>
          </w:p>
        </w:tc>
        <w:tc>
          <w:tcPr>
            <w:tcW w:w="3135" w:type="dxa"/>
          </w:tcPr>
          <w:p w14:paraId="052BCCF6" w14:textId="77777777" w:rsidR="002F4370" w:rsidRDefault="002F4370" w:rsidP="00135516">
            <w:pPr>
              <w:rPr>
                <w:color w:val="7030A0"/>
              </w:rPr>
            </w:pPr>
            <w:r>
              <w:rPr>
                <w:color w:val="7030A0"/>
              </w:rPr>
              <w:t>Ordinal</w:t>
            </w:r>
          </w:p>
        </w:tc>
      </w:tr>
      <w:tr w:rsidR="002F4370" w14:paraId="052BCCFB" w14:textId="77777777" w:rsidTr="00043633">
        <w:tc>
          <w:tcPr>
            <w:tcW w:w="2675" w:type="dxa"/>
          </w:tcPr>
          <w:p w14:paraId="052BCCF8" w14:textId="2873F600" w:rsidR="002F4370" w:rsidRDefault="002F4370">
            <w:r>
              <w:t xml:space="preserve">Degree </w:t>
            </w:r>
            <w:r w:rsidR="00554F37">
              <w:t>class</w:t>
            </w:r>
          </w:p>
        </w:tc>
        <w:tc>
          <w:tcPr>
            <w:tcW w:w="2128" w:type="dxa"/>
          </w:tcPr>
          <w:p w14:paraId="052BCCF9" w14:textId="77777777" w:rsidR="002F4370" w:rsidRDefault="002F4370" w:rsidP="00135516">
            <w:r>
              <w:t>Where a first class degree is higher than a 2:1 degree</w:t>
            </w:r>
          </w:p>
        </w:tc>
        <w:tc>
          <w:tcPr>
            <w:tcW w:w="3135" w:type="dxa"/>
          </w:tcPr>
          <w:p w14:paraId="052BCCFA" w14:textId="77777777" w:rsidR="002F4370" w:rsidRDefault="002F4370" w:rsidP="00135516">
            <w:pPr>
              <w:rPr>
                <w:color w:val="7030A0"/>
              </w:rPr>
            </w:pPr>
            <w:r>
              <w:rPr>
                <w:color w:val="7030A0"/>
              </w:rPr>
              <w:t>Ordinal</w:t>
            </w:r>
          </w:p>
        </w:tc>
      </w:tr>
    </w:tbl>
    <w:p w14:paraId="052BCCFD" w14:textId="77777777" w:rsidR="00E55A88" w:rsidRDefault="00043633"/>
    <w:sectPr w:rsidR="00E55A88" w:rsidSect="00043633">
      <w:headerReference w:type="default" r:id="rId10"/>
      <w:pgSz w:w="11900" w:h="16840"/>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CD01" w14:textId="77777777" w:rsidR="00A00C98" w:rsidRDefault="00A00C98" w:rsidP="00554F37">
      <w:pPr>
        <w:spacing w:before="0" w:after="0" w:line="240" w:lineRule="auto"/>
      </w:pPr>
      <w:r>
        <w:separator/>
      </w:r>
    </w:p>
  </w:endnote>
  <w:endnote w:type="continuationSeparator" w:id="0">
    <w:p w14:paraId="052BCD02" w14:textId="77777777" w:rsidR="00A00C98" w:rsidRDefault="00A00C98" w:rsidP="00554F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CCFF" w14:textId="77777777" w:rsidR="00A00C98" w:rsidRDefault="00A00C98" w:rsidP="00554F37">
      <w:pPr>
        <w:spacing w:before="0" w:after="0" w:line="240" w:lineRule="auto"/>
      </w:pPr>
      <w:r>
        <w:separator/>
      </w:r>
    </w:p>
  </w:footnote>
  <w:footnote w:type="continuationSeparator" w:id="0">
    <w:p w14:paraId="052BCD00" w14:textId="77777777" w:rsidR="00A00C98" w:rsidRDefault="00A00C98" w:rsidP="00554F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CD04" w14:textId="77777777" w:rsidR="00554F37" w:rsidRDefault="00554F37" w:rsidP="00554F37">
    <w:pPr>
      <w:pStyle w:val="Header"/>
      <w:spacing w:before="0" w:after="0" w:line="240" w:lineRule="auto"/>
      <w:contextualSpacing w:val="0"/>
      <w:jc w:val="right"/>
      <w:rPr>
        <w:i/>
      </w:rPr>
    </w:pPr>
    <w:r>
      <w:t xml:space="preserve">Watt and Collins, </w:t>
    </w:r>
    <w:r w:rsidRPr="00F7422E">
      <w:rPr>
        <w:i/>
      </w:rPr>
      <w:t xml:space="preserve">Statistics for Psychology. A </w:t>
    </w:r>
    <w:r>
      <w:rPr>
        <w:i/>
      </w:rPr>
      <w:t>G</w:t>
    </w:r>
    <w:r w:rsidRPr="00F7422E">
      <w:rPr>
        <w:i/>
      </w:rPr>
      <w:t>uide for Beginners</w:t>
    </w:r>
  </w:p>
  <w:p w14:paraId="052BCD05" w14:textId="77777777" w:rsidR="00554F37" w:rsidRDefault="00554F37" w:rsidP="00043633">
    <w:pPr>
      <w:pStyle w:val="Header"/>
      <w:spacing w:before="0" w:after="0" w:line="240" w:lineRule="auto"/>
      <w:contextualSpacing w:val="0"/>
      <w:jc w:val="right"/>
    </w:pPr>
    <w:r w:rsidRPr="008612DB">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2F9F"/>
    <w:rsid w:val="00031B36"/>
    <w:rsid w:val="00043633"/>
    <w:rsid w:val="00052C5F"/>
    <w:rsid w:val="000B0796"/>
    <w:rsid w:val="000F2808"/>
    <w:rsid w:val="001E0875"/>
    <w:rsid w:val="0025441D"/>
    <w:rsid w:val="002F4370"/>
    <w:rsid w:val="003446C5"/>
    <w:rsid w:val="0040160F"/>
    <w:rsid w:val="00554F37"/>
    <w:rsid w:val="005A4D04"/>
    <w:rsid w:val="00673369"/>
    <w:rsid w:val="007C2651"/>
    <w:rsid w:val="008B6321"/>
    <w:rsid w:val="009A5BC9"/>
    <w:rsid w:val="00A00C98"/>
    <w:rsid w:val="00A31E6F"/>
    <w:rsid w:val="00B02997"/>
    <w:rsid w:val="00BC638F"/>
    <w:rsid w:val="00C26B52"/>
    <w:rsid w:val="00C60132"/>
    <w:rsid w:val="00CE1E3D"/>
    <w:rsid w:val="00D819CB"/>
    <w:rsid w:val="00DD2F9F"/>
    <w:rsid w:val="00DF7502"/>
    <w:rsid w:val="00E32B1F"/>
    <w:rsid w:val="00EA2164"/>
    <w:rsid w:val="00EF1ECC"/>
    <w:rsid w:val="00F20EC7"/>
    <w:rsid w:val="00F9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BCC9B"/>
  <w15:docId w15:val="{136F4D26-BFFA-45F9-8184-6E6FA552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F"/>
    <w:pPr>
      <w:spacing w:before="120" w:after="120" w:line="360" w:lineRule="auto"/>
      <w:contextualSpacing/>
    </w:pPr>
    <w:rPr>
      <w:rFonts w:ascii="Times New Roman" w:eastAsia="Times New Roman" w:hAnsi="Times New Roman" w:cs="Times New Roman"/>
      <w:lang w:val="en-US"/>
    </w:rPr>
  </w:style>
  <w:style w:type="paragraph" w:styleId="Heading1">
    <w:name w:val="heading 1"/>
    <w:basedOn w:val="Normal"/>
    <w:next w:val="Normal"/>
    <w:link w:val="Heading1Char"/>
    <w:qFormat/>
    <w:rsid w:val="00E32B1F"/>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E32B1F"/>
    <w:pPr>
      <w:keepNext/>
      <w:keepLines/>
      <w:spacing w:before="240" w:after="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E32B1F"/>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B1F"/>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E32B1F"/>
    <w:rPr>
      <w:rFonts w:ascii="Times New Roman Bold" w:eastAsia="Times New Roman" w:hAnsi="Times New Roman Bold" w:cs="Times New Roman"/>
      <w:b/>
      <w:bCs/>
      <w:color w:val="4472C4" w:themeColor="accent1"/>
      <w:sz w:val="26"/>
      <w:szCs w:val="26"/>
      <w:lang w:val="en-US"/>
    </w:rPr>
  </w:style>
  <w:style w:type="table" w:styleId="TableGrid">
    <w:name w:val="Table Grid"/>
    <w:basedOn w:val="TableNormal"/>
    <w:uiPriority w:val="59"/>
    <w:rsid w:val="00E32B1F"/>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CB"/>
    <w:rPr>
      <w:sz w:val="16"/>
      <w:szCs w:val="16"/>
    </w:rPr>
  </w:style>
  <w:style w:type="paragraph" w:styleId="CommentText">
    <w:name w:val="annotation text"/>
    <w:basedOn w:val="Normal"/>
    <w:link w:val="CommentTextChar"/>
    <w:uiPriority w:val="99"/>
    <w:semiHidden/>
    <w:unhideWhenUsed/>
    <w:rsid w:val="00D819CB"/>
    <w:rPr>
      <w:sz w:val="20"/>
      <w:szCs w:val="20"/>
    </w:rPr>
  </w:style>
  <w:style w:type="character" w:customStyle="1" w:styleId="CommentTextChar">
    <w:name w:val="Comment Text Char"/>
    <w:basedOn w:val="DefaultParagraphFont"/>
    <w:link w:val="CommentText"/>
    <w:uiPriority w:val="99"/>
    <w:semiHidden/>
    <w:rsid w:val="00D819CB"/>
    <w:rPr>
      <w:sz w:val="20"/>
      <w:szCs w:val="20"/>
    </w:rPr>
  </w:style>
  <w:style w:type="paragraph" w:styleId="CommentSubject">
    <w:name w:val="annotation subject"/>
    <w:basedOn w:val="CommentText"/>
    <w:next w:val="CommentText"/>
    <w:link w:val="CommentSubjectChar"/>
    <w:uiPriority w:val="99"/>
    <w:semiHidden/>
    <w:unhideWhenUsed/>
    <w:rsid w:val="00D819CB"/>
    <w:rPr>
      <w:b/>
      <w:bCs/>
    </w:rPr>
  </w:style>
  <w:style w:type="character" w:customStyle="1" w:styleId="CommentSubjectChar">
    <w:name w:val="Comment Subject Char"/>
    <w:basedOn w:val="CommentTextChar"/>
    <w:link w:val="CommentSubject"/>
    <w:uiPriority w:val="99"/>
    <w:semiHidden/>
    <w:rsid w:val="00D819CB"/>
    <w:rPr>
      <w:b/>
      <w:bCs/>
      <w:sz w:val="20"/>
      <w:szCs w:val="20"/>
    </w:rPr>
  </w:style>
  <w:style w:type="paragraph" w:styleId="BalloonText">
    <w:name w:val="Balloon Text"/>
    <w:basedOn w:val="Normal"/>
    <w:link w:val="BalloonTextChar"/>
    <w:rsid w:val="00E32B1F"/>
    <w:rPr>
      <w:rFonts w:ascii="Tahoma" w:hAnsi="Tahoma" w:cs="Tahoma"/>
      <w:sz w:val="16"/>
      <w:szCs w:val="16"/>
    </w:rPr>
  </w:style>
  <w:style w:type="character" w:customStyle="1" w:styleId="BalloonTextChar">
    <w:name w:val="Balloon Text Char"/>
    <w:basedOn w:val="DefaultParagraphFont"/>
    <w:link w:val="BalloonText"/>
    <w:rsid w:val="00E32B1F"/>
    <w:rPr>
      <w:rFonts w:ascii="Tahoma" w:eastAsia="Times New Roman" w:hAnsi="Tahoma" w:cs="Tahoma"/>
      <w:sz w:val="16"/>
      <w:szCs w:val="16"/>
      <w:lang w:val="en-US"/>
    </w:rPr>
  </w:style>
  <w:style w:type="paragraph" w:styleId="Revision">
    <w:name w:val="Revision"/>
    <w:hidden/>
    <w:uiPriority w:val="99"/>
    <w:semiHidden/>
    <w:rsid w:val="008B6321"/>
  </w:style>
  <w:style w:type="character" w:customStyle="1" w:styleId="Heading3Char">
    <w:name w:val="Heading 3 Char"/>
    <w:link w:val="Heading3"/>
    <w:uiPriority w:val="9"/>
    <w:rsid w:val="00E32B1F"/>
    <w:rPr>
      <w:rFonts w:ascii="Times New Roman" w:eastAsia="Times New Roman" w:hAnsi="Times New Roman" w:cs="Times New Roman"/>
      <w:b/>
      <w:color w:val="1F4E79"/>
      <w:szCs w:val="20"/>
      <w:lang w:val="en-US"/>
    </w:rPr>
  </w:style>
  <w:style w:type="paragraph" w:styleId="Header">
    <w:name w:val="header"/>
    <w:basedOn w:val="Normal"/>
    <w:link w:val="HeaderChar"/>
    <w:rsid w:val="00E32B1F"/>
    <w:pPr>
      <w:tabs>
        <w:tab w:val="center" w:pos="4320"/>
        <w:tab w:val="right" w:pos="8640"/>
      </w:tabs>
    </w:pPr>
  </w:style>
  <w:style w:type="character" w:customStyle="1" w:styleId="HeaderChar">
    <w:name w:val="Header Char"/>
    <w:basedOn w:val="DefaultParagraphFont"/>
    <w:link w:val="Header"/>
    <w:rsid w:val="00554F37"/>
    <w:rPr>
      <w:rFonts w:ascii="Times New Roman" w:eastAsia="Times New Roman" w:hAnsi="Times New Roman" w:cs="Times New Roman"/>
      <w:lang w:val="en-US"/>
    </w:rPr>
  </w:style>
  <w:style w:type="character" w:styleId="PageNumber">
    <w:name w:val="page number"/>
    <w:basedOn w:val="DefaultParagraphFont"/>
    <w:rsid w:val="00E32B1F"/>
  </w:style>
  <w:style w:type="paragraph" w:styleId="ListParagraph">
    <w:name w:val="List Paragraph"/>
    <w:basedOn w:val="Normal"/>
    <w:autoRedefine/>
    <w:uiPriority w:val="34"/>
    <w:qFormat/>
    <w:rsid w:val="00E32B1F"/>
    <w:pPr>
      <w:spacing w:before="0" w:after="0"/>
      <w:ind w:left="720" w:hanging="360"/>
      <w:jc w:val="both"/>
    </w:pPr>
    <w:rPr>
      <w:rFonts w:eastAsia="Calibri"/>
    </w:rPr>
  </w:style>
  <w:style w:type="character" w:styleId="Hyperlink">
    <w:name w:val="Hyperlink"/>
    <w:uiPriority w:val="99"/>
    <w:unhideWhenUsed/>
    <w:rsid w:val="00E32B1F"/>
    <w:rPr>
      <w:color w:val="0000FF"/>
      <w:u w:val="single"/>
    </w:rPr>
  </w:style>
  <w:style w:type="character" w:customStyle="1" w:styleId="apple-converted-space">
    <w:name w:val="apple-converted-space"/>
    <w:basedOn w:val="DefaultParagraphFont"/>
    <w:rsid w:val="00E32B1F"/>
  </w:style>
  <w:style w:type="paragraph" w:customStyle="1" w:styleId="NumberedList">
    <w:name w:val="Numbered List"/>
    <w:basedOn w:val="Normal"/>
    <w:uiPriority w:val="99"/>
    <w:qFormat/>
    <w:rsid w:val="00E32B1F"/>
    <w:pPr>
      <w:numPr>
        <w:numId w:val="11"/>
      </w:numPr>
    </w:pPr>
    <w:rPr>
      <w:rFonts w:eastAsia="Calibri"/>
      <w:szCs w:val="22"/>
    </w:rPr>
  </w:style>
  <w:style w:type="paragraph" w:customStyle="1" w:styleId="ReferenceText">
    <w:name w:val="Reference Text"/>
    <w:basedOn w:val="Normal"/>
    <w:uiPriority w:val="99"/>
    <w:qFormat/>
    <w:rsid w:val="00E32B1F"/>
    <w:pPr>
      <w:ind w:left="720" w:hanging="720"/>
    </w:pPr>
    <w:rPr>
      <w:rFonts w:eastAsiaTheme="minorHAnsi" w:cstheme="minorBidi"/>
      <w:szCs w:val="22"/>
    </w:rPr>
  </w:style>
  <w:style w:type="paragraph" w:styleId="Footer">
    <w:name w:val="footer"/>
    <w:basedOn w:val="Normal"/>
    <w:link w:val="FooterChar"/>
    <w:rsid w:val="00E32B1F"/>
    <w:pPr>
      <w:tabs>
        <w:tab w:val="center" w:pos="4680"/>
        <w:tab w:val="right" w:pos="9360"/>
      </w:tabs>
    </w:pPr>
  </w:style>
  <w:style w:type="character" w:customStyle="1" w:styleId="FooterChar">
    <w:name w:val="Footer Char"/>
    <w:basedOn w:val="DefaultParagraphFont"/>
    <w:link w:val="Footer"/>
    <w:rsid w:val="00E32B1F"/>
    <w:rPr>
      <w:rFonts w:ascii="Times New Roman" w:eastAsia="Times New Roman" w:hAnsi="Times New Roman" w:cs="Times New Roman"/>
      <w:lang w:val="en-US"/>
    </w:rPr>
  </w:style>
  <w:style w:type="paragraph" w:styleId="Title">
    <w:name w:val="Title"/>
    <w:basedOn w:val="Normal"/>
    <w:next w:val="Normal"/>
    <w:link w:val="TitleChar"/>
    <w:qFormat/>
    <w:rsid w:val="00E32B1F"/>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E32B1F"/>
    <w:rPr>
      <w:rFonts w:ascii="Times New Roman" w:eastAsiaTheme="majorEastAsia" w:hAnsi="Times New Roman" w:cstheme="majorBidi"/>
      <w:color w:val="1F3864" w:themeColor="accent1" w:themeShade="80"/>
      <w:spacing w:val="5"/>
      <w:kern w:val="28"/>
      <w:sz w:val="52"/>
      <w:szCs w:val="52"/>
      <w:lang w:val="en-US"/>
    </w:rPr>
  </w:style>
  <w:style w:type="paragraph" w:customStyle="1" w:styleId="BulletedList">
    <w:name w:val="Bulleted List"/>
    <w:basedOn w:val="Normal"/>
    <w:qFormat/>
    <w:rsid w:val="00E32B1F"/>
    <w:pPr>
      <w:numPr>
        <w:numId w:val="12"/>
      </w:numPr>
    </w:pPr>
  </w:style>
  <w:style w:type="paragraph" w:customStyle="1" w:styleId="BL">
    <w:name w:val="BL"/>
    <w:basedOn w:val="Normal"/>
    <w:autoRedefine/>
    <w:uiPriority w:val="99"/>
    <w:rsid w:val="00E32B1F"/>
    <w:pPr>
      <w:widowControl w:val="0"/>
      <w:numPr>
        <w:numId w:val="13"/>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E32B1F"/>
    <w:pPr>
      <w:ind w:left="720" w:hanging="360"/>
    </w:pPr>
    <w:rPr>
      <w:color w:val="000000"/>
    </w:rPr>
  </w:style>
  <w:style w:type="paragraph" w:customStyle="1" w:styleId="Default">
    <w:name w:val="Default"/>
    <w:rsid w:val="00554F37"/>
    <w:pPr>
      <w:autoSpaceDE w:val="0"/>
      <w:autoSpaceDN w:val="0"/>
      <w:adjustRightInd w:val="0"/>
    </w:pPr>
    <w:rPr>
      <w:rFonts w:ascii="Times New Roman" w:hAnsi="Times New Roman" w:cs="Times New Roman"/>
      <w:color w:val="000000"/>
      <w:lang w:val="en-US"/>
    </w:rPr>
  </w:style>
  <w:style w:type="character" w:customStyle="1" w:styleId="MTConvertedEquation">
    <w:name w:val="MTConvertedEquation"/>
    <w:basedOn w:val="DefaultParagraphFont"/>
    <w:rsid w:val="00E32B1F"/>
    <w:rPr>
      <w:rFonts w:ascii="Cambria Math" w:hAnsi="Cambria Math"/>
      <w:i/>
      <w:color w:val="000000" w:themeColor="text1"/>
    </w:rPr>
  </w:style>
  <w:style w:type="paragraph" w:customStyle="1" w:styleId="MTDisplayEquation">
    <w:name w:val="MTDisplayEquation"/>
    <w:basedOn w:val="Normal"/>
    <w:next w:val="Normal"/>
    <w:link w:val="MTDisplayEquationChar"/>
    <w:rsid w:val="00E32B1F"/>
    <w:pPr>
      <w:tabs>
        <w:tab w:val="center" w:pos="4520"/>
        <w:tab w:val="right" w:pos="9020"/>
      </w:tabs>
    </w:pPr>
  </w:style>
  <w:style w:type="character" w:customStyle="1" w:styleId="MTDisplayEquationChar">
    <w:name w:val="MTDisplayEquation Char"/>
    <w:basedOn w:val="DefaultParagraphFont"/>
    <w:link w:val="MTDisplayEquation"/>
    <w:rsid w:val="00E32B1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3384E-FA2C-4FCD-91A1-70406437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37</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Imogen Roome</cp:lastModifiedBy>
  <cp:revision>12</cp:revision>
  <dcterms:created xsi:type="dcterms:W3CDTF">2018-10-08T09:59:00Z</dcterms:created>
  <dcterms:modified xsi:type="dcterms:W3CDTF">2019-05-10T15:24:00Z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