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461A5" w14:textId="77777777" w:rsidR="004E4A1C" w:rsidRDefault="004E4A1C" w:rsidP="004E4A1C">
      <w:pPr>
        <w:pStyle w:val="Title"/>
      </w:pPr>
      <w:r>
        <w:t>Online Resource</w:t>
      </w:r>
    </w:p>
    <w:p w14:paraId="0CE461A6" w14:textId="77777777" w:rsidR="005E23C7" w:rsidRDefault="00D25567">
      <w:pPr>
        <w:pStyle w:val="Heading1"/>
      </w:pPr>
      <w:r>
        <w:t>Chapter 5</w:t>
      </w:r>
      <w:r w:rsidR="004E4A1C">
        <w:t>: Uncertainty</w:t>
      </w:r>
    </w:p>
    <w:p w14:paraId="0CE461A8" w14:textId="7C042F00" w:rsidR="003C3406" w:rsidRDefault="003C3406" w:rsidP="00D25567">
      <w:pPr>
        <w:pStyle w:val="Heading2"/>
      </w:pPr>
      <w:r>
        <w:t xml:space="preserve">A </w:t>
      </w:r>
      <w:r w:rsidR="004E4A1C">
        <w:t>little statement about our graphs</w:t>
      </w:r>
    </w:p>
    <w:p w14:paraId="0CE461AB" w14:textId="528D6C70" w:rsidR="004553B7" w:rsidRDefault="003C3406" w:rsidP="003C3406">
      <w:r>
        <w:t xml:space="preserve">Chapter 5 is full of graphs that demonstrate likelihood functions and sampling distributions. If you are interested in seeing where these graphs have come from, then you may find that </w:t>
      </w:r>
      <w:hyperlink r:id="rId8" w:history="1">
        <w:r w:rsidRPr="00726F14">
          <w:rPr>
            <w:rStyle w:val="Hyperlink"/>
          </w:rPr>
          <w:t>www.brawstats.com</w:t>
        </w:r>
      </w:hyperlink>
      <w:r>
        <w:t xml:space="preserve"> is an interesting place to start. BrawStat</w:t>
      </w:r>
      <w:bookmarkStart w:id="0" w:name="_GoBack"/>
      <w:bookmarkEnd w:id="0"/>
      <w:r>
        <w:t>s is our very own piece of powerful simulation software that we use to illustrate and explore statistics. You will find a contact form on that website to get in touch with us, and we will be able to provide you with a software download</w:t>
      </w:r>
      <w:r w:rsidR="003466BD">
        <w:t xml:space="preserve"> of our beta version,</w:t>
      </w:r>
      <w:r>
        <w:t xml:space="preserve"> and an information sheet that enables you to create your own graphs.</w:t>
      </w:r>
    </w:p>
    <w:p w14:paraId="0CE461AF" w14:textId="6017E1E4" w:rsidR="004553B7" w:rsidRDefault="00E02F93" w:rsidP="00D25567">
      <w:pPr>
        <w:pStyle w:val="Heading2"/>
      </w:pPr>
      <w:r>
        <w:t xml:space="preserve">Central </w:t>
      </w:r>
      <w:r w:rsidR="004E4A1C">
        <w:t>limit theorem</w:t>
      </w:r>
    </w:p>
    <w:p w14:paraId="0CE461B2" w14:textId="3172A594" w:rsidR="004553B7" w:rsidRDefault="00511E14" w:rsidP="00D25567">
      <w:r>
        <w:t xml:space="preserve">It is no exaggeration to say that without the Central Limit Theorem, there would be no statistical inference. Statistics can do its first task (describe patterns in the data) without the </w:t>
      </w:r>
      <w:r w:rsidR="002E3558">
        <w:t>Central Limit Theorem</w:t>
      </w:r>
      <w:r>
        <w:t>, but it could no</w:t>
      </w:r>
      <w:r w:rsidR="001C6C78">
        <w:t>t do its second task of estimating</w:t>
      </w:r>
      <w:r>
        <w:t xml:space="preserve"> uncertainty. </w:t>
      </w:r>
      <w:r w:rsidR="001A23D1">
        <w:t>Actually, like all maths, the Central Limit Theorem is a work in progress – it is regularly being improved.</w:t>
      </w:r>
    </w:p>
    <w:p w14:paraId="0CE461B5" w14:textId="734436CB" w:rsidR="004553B7" w:rsidRDefault="001A23D1">
      <w:pPr>
        <w:ind w:firstLine="540"/>
      </w:pPr>
      <w:r>
        <w:t xml:space="preserve">The basic </w:t>
      </w:r>
      <w:r w:rsidR="002E3558">
        <w:t xml:space="preserve">Central Limit Theorem </w:t>
      </w:r>
      <w:r>
        <w:t>is the reason why we can say that a sample can simultaneously give us both the best estimate of a population and an estimate of our uncertainty. This is the magic moment in statistics. One sample tells you what all the other samples could look like.</w:t>
      </w:r>
    </w:p>
    <w:p w14:paraId="0CE461B7" w14:textId="77777777" w:rsidR="005E23C7" w:rsidRDefault="001A23D1" w:rsidP="00544003">
      <w:pPr>
        <w:ind w:firstLine="540"/>
      </w:pPr>
      <w:r>
        <w:t xml:space="preserve">At its heart the </w:t>
      </w:r>
      <w:r w:rsidR="002E3558">
        <w:t xml:space="preserve">Central Limit Theorem </w:t>
      </w:r>
      <w:r>
        <w:t>is an extension of the very long-standing law of large numbers: the results of any uncertain procedure converge on the expected value</w:t>
      </w:r>
      <w:r w:rsidR="001F6D9F">
        <w:t xml:space="preserve"> with a large enough sample size. This is a guarantee of stability that nearly always applies.</w:t>
      </w:r>
    </w:p>
    <w:p w14:paraId="0CE461B9" w14:textId="77777777" w:rsidR="005E23C7" w:rsidRDefault="001F6D9F" w:rsidP="00544003">
      <w:pPr>
        <w:ind w:firstLine="540"/>
      </w:pPr>
      <w:r>
        <w:t xml:space="preserve">The basic </w:t>
      </w:r>
      <w:r w:rsidR="002E3558">
        <w:t xml:space="preserve">Central Limit Theorem </w:t>
      </w:r>
      <w:r>
        <w:t>states specifically that if we are estimating the mean of a population, then the distribution of sample estimates will converge on (i</w:t>
      </w:r>
      <w:r w:rsidR="001C6C78">
        <w:t>.</w:t>
      </w:r>
      <w:r>
        <w:t>e</w:t>
      </w:r>
      <w:r w:rsidR="001C6C78">
        <w:t>.</w:t>
      </w:r>
      <w:r>
        <w:t xml:space="preserve"> become</w:t>
      </w:r>
      <w:r w:rsidR="001C6C78">
        <w:t>,</w:t>
      </w:r>
      <w:r>
        <w:t xml:space="preserve"> when there are enough of them) a normal distribution. That sampling distribution has a mean that is the same as the mean of the population those samples come from. It has a standard deviation </w:t>
      </w:r>
      <w:r>
        <w:lastRenderedPageBreak/>
        <w:t>that is the standard deviation of the population itself, divided by the square root of the sample size.</w:t>
      </w:r>
    </w:p>
    <w:p w14:paraId="0CE461BB" w14:textId="77777777" w:rsidR="005E23C7" w:rsidRDefault="001F6D9F" w:rsidP="00544003">
      <w:pPr>
        <w:ind w:firstLine="540"/>
      </w:pPr>
      <w:r>
        <w:t>This is quite remarkable. For all practical situations that we may encounter, it says that if we knew the mean and standard deviation of the population and we know the size of our sample, we can also know the sampling distribution. Since any sample gives us an estimate of the population mean and standard deviation, and we must know our sample size, it allows us to use the sample to find the standard error.</w:t>
      </w:r>
    </w:p>
    <w:p w14:paraId="0CE461BE" w14:textId="53DCA87C" w:rsidR="004553B7" w:rsidRDefault="001F6D9F">
      <w:pPr>
        <w:ind w:firstLine="540"/>
      </w:pPr>
      <w:r>
        <w:t xml:space="preserve">Equally remarkable is that all of this applies almost regardless of the shape of the population distribution. That distribution can be skewed, can have a high or very low kurtosis, but the sampling distribution will still be a normal distribution. There are some very rare situations where </w:t>
      </w:r>
      <w:r w:rsidR="002E3558">
        <w:t xml:space="preserve">Central Limit Theorem </w:t>
      </w:r>
      <w:r>
        <w:t>doesn’t apply, but these have no practical importance. Specifically, any distribution that can produce values that are infinite is going to cause problems. The Cauchy distribution is one widely-cited example</w:t>
      </w:r>
      <w:r w:rsidR="002362A5">
        <w:t>, which you are unlikely to encounter</w:t>
      </w:r>
      <w:r>
        <w:t>.</w:t>
      </w:r>
    </w:p>
    <w:p w14:paraId="0CE461C0" w14:textId="77777777" w:rsidR="005E23C7" w:rsidRDefault="009E2F43" w:rsidP="00544003">
      <w:pPr>
        <w:ind w:firstLine="540"/>
      </w:pPr>
      <w:r>
        <w:t>In this next figure we show some types of populations (left) and the distribution of sample means that they give rise to. The populations are:</w:t>
      </w:r>
    </w:p>
    <w:p w14:paraId="0CE461C2" w14:textId="77777777" w:rsidR="005E23C7" w:rsidRDefault="004E4A1C" w:rsidP="00544003">
      <w:pPr>
        <w:ind w:left="720" w:hanging="360"/>
      </w:pPr>
      <w:r>
        <w:rPr>
          <w:rFonts w:eastAsia="Calibri"/>
        </w:rPr>
        <w:t>1.</w:t>
      </w:r>
      <w:r>
        <w:rPr>
          <w:rFonts w:eastAsia="Calibri"/>
        </w:rPr>
        <w:tab/>
      </w:r>
      <w:r w:rsidR="00916142">
        <w:t>N</w:t>
      </w:r>
      <w:r w:rsidR="009E2F43">
        <w:t>ormal distribution</w:t>
      </w:r>
    </w:p>
    <w:p w14:paraId="0CE461C3" w14:textId="77777777" w:rsidR="005E23C7" w:rsidRDefault="004E4A1C" w:rsidP="00544003">
      <w:pPr>
        <w:ind w:left="720" w:hanging="360"/>
      </w:pPr>
      <w:r>
        <w:rPr>
          <w:rFonts w:eastAsia="Calibri"/>
        </w:rPr>
        <w:t>2.</w:t>
      </w:r>
      <w:r>
        <w:rPr>
          <w:rFonts w:eastAsia="Calibri"/>
        </w:rPr>
        <w:tab/>
      </w:r>
      <w:r w:rsidR="00916142">
        <w:t>H</w:t>
      </w:r>
      <w:r w:rsidR="009E2F43">
        <w:t>igh skew</w:t>
      </w:r>
    </w:p>
    <w:p w14:paraId="0CE461C4" w14:textId="77777777" w:rsidR="005E23C7" w:rsidRDefault="004E4A1C" w:rsidP="00544003">
      <w:pPr>
        <w:ind w:left="720" w:hanging="360"/>
      </w:pPr>
      <w:r>
        <w:rPr>
          <w:rFonts w:eastAsia="Calibri"/>
        </w:rPr>
        <w:t>3.</w:t>
      </w:r>
      <w:r>
        <w:rPr>
          <w:rFonts w:eastAsia="Calibri"/>
        </w:rPr>
        <w:tab/>
      </w:r>
      <w:r w:rsidR="00916142">
        <w:t>V</w:t>
      </w:r>
      <w:r w:rsidR="009E2F43">
        <w:t>ery low kurtosis</w:t>
      </w:r>
    </w:p>
    <w:p w14:paraId="0CE461C5" w14:textId="77777777" w:rsidR="005E23C7" w:rsidRDefault="004E4A1C" w:rsidP="00544003">
      <w:pPr>
        <w:ind w:left="720" w:hanging="360"/>
      </w:pPr>
      <w:r>
        <w:rPr>
          <w:rFonts w:eastAsia="Calibri"/>
        </w:rPr>
        <w:t>4.</w:t>
      </w:r>
      <w:r>
        <w:rPr>
          <w:rFonts w:eastAsia="Calibri"/>
        </w:rPr>
        <w:tab/>
      </w:r>
      <w:r w:rsidR="00916142">
        <w:t>C</w:t>
      </w:r>
      <w:r w:rsidR="009E2F43">
        <w:t>auchy distribution</w:t>
      </w:r>
    </w:p>
    <w:p w14:paraId="0CE461C7" w14:textId="77777777" w:rsidR="005E23C7" w:rsidRDefault="009E2F43" w:rsidP="00544003">
      <w:pPr>
        <w:ind w:firstLine="540"/>
      </w:pPr>
      <w:r>
        <w:t>Noti</w:t>
      </w:r>
      <w:r w:rsidR="007928B2">
        <w:t>c</w:t>
      </w:r>
      <w:r>
        <w:t xml:space="preserve">e how, </w:t>
      </w:r>
      <w:r w:rsidR="002A1D08">
        <w:t>even</w:t>
      </w:r>
      <w:r>
        <w:t xml:space="preserve"> for the last, the sampling distributions are all similar.</w:t>
      </w:r>
      <w:r w:rsidR="004605B6">
        <w:t xml:space="preserve"> In theory, the Cauchy distribution does not obey the </w:t>
      </w:r>
      <w:r w:rsidR="002E3558">
        <w:t>Central Limit Theorem</w:t>
      </w:r>
      <w:r w:rsidR="004605B6">
        <w:t>, but in practice it comes very close.</w:t>
      </w:r>
    </w:p>
    <w:p w14:paraId="0CE461C8" w14:textId="77777777" w:rsidR="009E2F43" w:rsidRDefault="009E2F43" w:rsidP="00D25567"/>
    <w:tbl>
      <w:tblPr>
        <w:tblStyle w:val="TableGrid"/>
        <w:tblpPr w:leftFromText="180" w:rightFromText="180" w:vertAnchor="text" w:horzAnchor="page" w:tblpX="858" w:tblpY="105"/>
        <w:tblW w:w="10201" w:type="dxa"/>
        <w:tblLook w:val="04A0" w:firstRow="1" w:lastRow="0" w:firstColumn="1" w:lastColumn="0" w:noHBand="0" w:noVBand="1"/>
      </w:tblPr>
      <w:tblGrid>
        <w:gridCol w:w="412"/>
        <w:gridCol w:w="2526"/>
        <w:gridCol w:w="2444"/>
        <w:gridCol w:w="2410"/>
        <w:gridCol w:w="2409"/>
      </w:tblGrid>
      <w:tr w:rsidR="00916142" w14:paraId="0CE461CE" w14:textId="77777777" w:rsidTr="004E4A1C">
        <w:tc>
          <w:tcPr>
            <w:tcW w:w="412" w:type="dxa"/>
          </w:tcPr>
          <w:p w14:paraId="0CE461C9" w14:textId="77777777" w:rsidR="00916142" w:rsidRDefault="00916142" w:rsidP="004E4A1C"/>
        </w:tc>
        <w:tc>
          <w:tcPr>
            <w:tcW w:w="2526" w:type="dxa"/>
          </w:tcPr>
          <w:p w14:paraId="0CE461CA" w14:textId="77777777" w:rsidR="00916142" w:rsidRDefault="00916142" w:rsidP="004E4A1C">
            <w:r>
              <w:t>Distribution</w:t>
            </w:r>
          </w:p>
        </w:tc>
        <w:tc>
          <w:tcPr>
            <w:tcW w:w="2444" w:type="dxa"/>
          </w:tcPr>
          <w:p w14:paraId="0CE461CB" w14:textId="77777777" w:rsidR="00916142" w:rsidRDefault="00916142" w:rsidP="004E4A1C">
            <w:r>
              <w:t>10 samples</w:t>
            </w:r>
          </w:p>
        </w:tc>
        <w:tc>
          <w:tcPr>
            <w:tcW w:w="2410" w:type="dxa"/>
          </w:tcPr>
          <w:p w14:paraId="0CE461CC" w14:textId="77777777" w:rsidR="00916142" w:rsidRDefault="00916142" w:rsidP="004E4A1C">
            <w:r>
              <w:t>100 samples</w:t>
            </w:r>
          </w:p>
        </w:tc>
        <w:tc>
          <w:tcPr>
            <w:tcW w:w="2409" w:type="dxa"/>
          </w:tcPr>
          <w:p w14:paraId="0CE461CD" w14:textId="77777777" w:rsidR="00916142" w:rsidRDefault="00916142" w:rsidP="004E4A1C">
            <w:r>
              <w:t>10000 samples</w:t>
            </w:r>
          </w:p>
        </w:tc>
      </w:tr>
      <w:tr w:rsidR="00916142" w14:paraId="0CE461D4" w14:textId="77777777" w:rsidTr="004E4A1C">
        <w:tc>
          <w:tcPr>
            <w:tcW w:w="412" w:type="dxa"/>
          </w:tcPr>
          <w:p w14:paraId="0CE461CF" w14:textId="77777777" w:rsidR="00916142" w:rsidRPr="00DB0ADA" w:rsidRDefault="00916142" w:rsidP="004E4A1C">
            <w:pPr>
              <w:rPr>
                <w:noProof/>
              </w:rPr>
            </w:pPr>
            <w:r>
              <w:rPr>
                <w:noProof/>
              </w:rPr>
              <w:t>1</w:t>
            </w:r>
          </w:p>
        </w:tc>
        <w:tc>
          <w:tcPr>
            <w:tcW w:w="2526" w:type="dxa"/>
          </w:tcPr>
          <w:p w14:paraId="0CE461D0" w14:textId="77777777" w:rsidR="00916142" w:rsidRDefault="00916142" w:rsidP="004E4A1C">
            <w:r w:rsidRPr="00DB0ADA">
              <w:rPr>
                <w:noProof/>
                <w:lang w:val="en-GB" w:eastAsia="en-GB"/>
              </w:rPr>
              <w:drawing>
                <wp:inline distT="0" distB="0" distL="0" distR="0" wp14:anchorId="0CE4626D" wp14:editId="0CE4626E">
                  <wp:extent cx="1464310" cy="10325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4310" cy="1032510"/>
                          </a:xfrm>
                          <a:prstGeom prst="rect">
                            <a:avLst/>
                          </a:prstGeom>
                          <a:noFill/>
                          <a:ln>
                            <a:noFill/>
                          </a:ln>
                        </pic:spPr>
                      </pic:pic>
                    </a:graphicData>
                  </a:graphic>
                </wp:inline>
              </w:drawing>
            </w:r>
          </w:p>
        </w:tc>
        <w:tc>
          <w:tcPr>
            <w:tcW w:w="2444" w:type="dxa"/>
          </w:tcPr>
          <w:p w14:paraId="0CE461D1" w14:textId="77777777" w:rsidR="00916142" w:rsidRDefault="00916142" w:rsidP="004E4A1C">
            <w:r w:rsidRPr="00DB0ADA">
              <w:rPr>
                <w:noProof/>
                <w:lang w:val="en-GB" w:eastAsia="en-GB"/>
              </w:rPr>
              <w:drawing>
                <wp:inline distT="0" distB="0" distL="0" distR="0" wp14:anchorId="0CE4626F" wp14:editId="0CE46270">
                  <wp:extent cx="1380822" cy="9193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1923" cy="926764"/>
                          </a:xfrm>
                          <a:prstGeom prst="rect">
                            <a:avLst/>
                          </a:prstGeom>
                          <a:noFill/>
                          <a:ln>
                            <a:noFill/>
                          </a:ln>
                        </pic:spPr>
                      </pic:pic>
                    </a:graphicData>
                  </a:graphic>
                </wp:inline>
              </w:drawing>
            </w:r>
          </w:p>
        </w:tc>
        <w:tc>
          <w:tcPr>
            <w:tcW w:w="2410" w:type="dxa"/>
          </w:tcPr>
          <w:p w14:paraId="0CE461D2" w14:textId="77777777" w:rsidR="00916142" w:rsidRDefault="00916142" w:rsidP="004E4A1C">
            <w:r w:rsidRPr="00DB0ADA">
              <w:rPr>
                <w:noProof/>
                <w:lang w:val="en-GB" w:eastAsia="en-GB"/>
              </w:rPr>
              <w:drawing>
                <wp:inline distT="0" distB="0" distL="0" distR="0" wp14:anchorId="0CE46271" wp14:editId="0CE46272">
                  <wp:extent cx="1380822" cy="91937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9084" cy="931532"/>
                          </a:xfrm>
                          <a:prstGeom prst="rect">
                            <a:avLst/>
                          </a:prstGeom>
                          <a:noFill/>
                          <a:ln>
                            <a:noFill/>
                          </a:ln>
                        </pic:spPr>
                      </pic:pic>
                    </a:graphicData>
                  </a:graphic>
                </wp:inline>
              </w:drawing>
            </w:r>
          </w:p>
        </w:tc>
        <w:tc>
          <w:tcPr>
            <w:tcW w:w="2409" w:type="dxa"/>
          </w:tcPr>
          <w:p w14:paraId="0CE461D3" w14:textId="77777777" w:rsidR="00916142" w:rsidRDefault="00916142" w:rsidP="004E4A1C">
            <w:r w:rsidRPr="00C41A78">
              <w:rPr>
                <w:noProof/>
                <w:lang w:val="en-GB" w:eastAsia="en-GB"/>
              </w:rPr>
              <w:drawing>
                <wp:inline distT="0" distB="0" distL="0" distR="0" wp14:anchorId="0CE46273" wp14:editId="0CE46274">
                  <wp:extent cx="1361326" cy="906392"/>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0777" cy="932659"/>
                          </a:xfrm>
                          <a:prstGeom prst="rect">
                            <a:avLst/>
                          </a:prstGeom>
                          <a:noFill/>
                          <a:ln>
                            <a:noFill/>
                          </a:ln>
                        </pic:spPr>
                      </pic:pic>
                    </a:graphicData>
                  </a:graphic>
                </wp:inline>
              </w:drawing>
            </w:r>
          </w:p>
        </w:tc>
      </w:tr>
      <w:tr w:rsidR="00916142" w14:paraId="0CE461DA" w14:textId="77777777" w:rsidTr="004E4A1C">
        <w:tc>
          <w:tcPr>
            <w:tcW w:w="412" w:type="dxa"/>
          </w:tcPr>
          <w:p w14:paraId="0CE461D5" w14:textId="77777777" w:rsidR="00916142" w:rsidRPr="00C41A78" w:rsidRDefault="00916142" w:rsidP="004E4A1C">
            <w:pPr>
              <w:rPr>
                <w:noProof/>
              </w:rPr>
            </w:pPr>
            <w:r>
              <w:rPr>
                <w:noProof/>
              </w:rPr>
              <w:lastRenderedPageBreak/>
              <w:t>2</w:t>
            </w:r>
          </w:p>
        </w:tc>
        <w:tc>
          <w:tcPr>
            <w:tcW w:w="2526" w:type="dxa"/>
          </w:tcPr>
          <w:p w14:paraId="0CE461D6" w14:textId="77777777" w:rsidR="00916142" w:rsidRDefault="00916142" w:rsidP="004E4A1C">
            <w:r w:rsidRPr="00C41A78">
              <w:rPr>
                <w:noProof/>
                <w:lang w:val="en-GB" w:eastAsia="en-GB"/>
              </w:rPr>
              <w:drawing>
                <wp:inline distT="0" distB="0" distL="0" distR="0" wp14:anchorId="0CE46275" wp14:editId="0CE46276">
                  <wp:extent cx="1464310" cy="1063625"/>
                  <wp:effectExtent l="0" t="0" r="254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4310" cy="1063625"/>
                          </a:xfrm>
                          <a:prstGeom prst="rect">
                            <a:avLst/>
                          </a:prstGeom>
                          <a:noFill/>
                          <a:ln>
                            <a:noFill/>
                          </a:ln>
                        </pic:spPr>
                      </pic:pic>
                    </a:graphicData>
                  </a:graphic>
                </wp:inline>
              </w:drawing>
            </w:r>
          </w:p>
        </w:tc>
        <w:tc>
          <w:tcPr>
            <w:tcW w:w="2444" w:type="dxa"/>
          </w:tcPr>
          <w:p w14:paraId="0CE461D7" w14:textId="77777777" w:rsidR="00916142" w:rsidRDefault="00916142" w:rsidP="004E4A1C">
            <w:r w:rsidRPr="00C41A78">
              <w:rPr>
                <w:noProof/>
                <w:lang w:val="en-GB" w:eastAsia="en-GB"/>
              </w:rPr>
              <w:drawing>
                <wp:inline distT="0" distB="0" distL="0" distR="0" wp14:anchorId="0CE46277" wp14:editId="0CE46278">
                  <wp:extent cx="1340777" cy="892710"/>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9454" cy="905145"/>
                          </a:xfrm>
                          <a:prstGeom prst="rect">
                            <a:avLst/>
                          </a:prstGeom>
                          <a:noFill/>
                          <a:ln>
                            <a:noFill/>
                          </a:ln>
                        </pic:spPr>
                      </pic:pic>
                    </a:graphicData>
                  </a:graphic>
                </wp:inline>
              </w:drawing>
            </w:r>
          </w:p>
        </w:tc>
        <w:tc>
          <w:tcPr>
            <w:tcW w:w="2410" w:type="dxa"/>
          </w:tcPr>
          <w:p w14:paraId="0CE461D8" w14:textId="77777777" w:rsidR="00916142" w:rsidRDefault="00916142" w:rsidP="004E4A1C">
            <w:r w:rsidRPr="00C41A78">
              <w:rPr>
                <w:noProof/>
                <w:lang w:val="en-GB" w:eastAsia="en-GB"/>
              </w:rPr>
              <w:drawing>
                <wp:inline distT="0" distB="0" distL="0" distR="0" wp14:anchorId="0CE46279" wp14:editId="0CE4627A">
                  <wp:extent cx="1351052" cy="899551"/>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66931" cy="910124"/>
                          </a:xfrm>
                          <a:prstGeom prst="rect">
                            <a:avLst/>
                          </a:prstGeom>
                          <a:noFill/>
                          <a:ln>
                            <a:noFill/>
                          </a:ln>
                        </pic:spPr>
                      </pic:pic>
                    </a:graphicData>
                  </a:graphic>
                </wp:inline>
              </w:drawing>
            </w:r>
          </w:p>
        </w:tc>
        <w:tc>
          <w:tcPr>
            <w:tcW w:w="2409" w:type="dxa"/>
          </w:tcPr>
          <w:p w14:paraId="0CE461D9" w14:textId="77777777" w:rsidR="00916142" w:rsidRDefault="00916142" w:rsidP="004E4A1C">
            <w:r w:rsidRPr="00C41A78">
              <w:rPr>
                <w:noProof/>
                <w:lang w:val="en-GB" w:eastAsia="en-GB"/>
              </w:rPr>
              <w:drawing>
                <wp:inline distT="0" distB="0" distL="0" distR="0" wp14:anchorId="0CE4627B" wp14:editId="0CE4627C">
                  <wp:extent cx="1381332" cy="91971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0872" cy="946039"/>
                          </a:xfrm>
                          <a:prstGeom prst="rect">
                            <a:avLst/>
                          </a:prstGeom>
                          <a:noFill/>
                          <a:ln>
                            <a:noFill/>
                          </a:ln>
                        </pic:spPr>
                      </pic:pic>
                    </a:graphicData>
                  </a:graphic>
                </wp:inline>
              </w:drawing>
            </w:r>
          </w:p>
        </w:tc>
      </w:tr>
      <w:tr w:rsidR="00916142" w14:paraId="0CE461E0" w14:textId="77777777" w:rsidTr="004E4A1C">
        <w:tc>
          <w:tcPr>
            <w:tcW w:w="412" w:type="dxa"/>
          </w:tcPr>
          <w:p w14:paraId="0CE461DB" w14:textId="77777777" w:rsidR="00916142" w:rsidRPr="00C41A78" w:rsidRDefault="00916142" w:rsidP="004E4A1C">
            <w:pPr>
              <w:rPr>
                <w:noProof/>
              </w:rPr>
            </w:pPr>
            <w:r>
              <w:rPr>
                <w:noProof/>
              </w:rPr>
              <w:t>3</w:t>
            </w:r>
          </w:p>
        </w:tc>
        <w:tc>
          <w:tcPr>
            <w:tcW w:w="2526" w:type="dxa"/>
          </w:tcPr>
          <w:p w14:paraId="0CE461DC" w14:textId="77777777" w:rsidR="00916142" w:rsidRPr="00C41A78" w:rsidRDefault="00916142" w:rsidP="004E4A1C">
            <w:pPr>
              <w:rPr>
                <w:noProof/>
              </w:rPr>
            </w:pPr>
            <w:r w:rsidRPr="00C41A78">
              <w:rPr>
                <w:noProof/>
                <w:lang w:val="en-GB" w:eastAsia="en-GB"/>
              </w:rPr>
              <w:drawing>
                <wp:inline distT="0" distB="0" distL="0" distR="0" wp14:anchorId="0CE4627D" wp14:editId="0CE4627E">
                  <wp:extent cx="1464310" cy="1063625"/>
                  <wp:effectExtent l="0" t="0" r="254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64310" cy="1063625"/>
                          </a:xfrm>
                          <a:prstGeom prst="rect">
                            <a:avLst/>
                          </a:prstGeom>
                          <a:noFill/>
                          <a:ln>
                            <a:noFill/>
                          </a:ln>
                        </pic:spPr>
                      </pic:pic>
                    </a:graphicData>
                  </a:graphic>
                </wp:inline>
              </w:drawing>
            </w:r>
          </w:p>
        </w:tc>
        <w:tc>
          <w:tcPr>
            <w:tcW w:w="2444" w:type="dxa"/>
          </w:tcPr>
          <w:p w14:paraId="0CE461DD" w14:textId="77777777" w:rsidR="00916142" w:rsidRPr="00C41A78" w:rsidRDefault="00916142" w:rsidP="004E4A1C">
            <w:pPr>
              <w:rPr>
                <w:noProof/>
              </w:rPr>
            </w:pPr>
            <w:r w:rsidRPr="00C41A78">
              <w:rPr>
                <w:noProof/>
                <w:lang w:val="en-GB" w:eastAsia="en-GB"/>
              </w:rPr>
              <w:drawing>
                <wp:inline distT="0" distB="0" distL="0" distR="0" wp14:anchorId="0CE4627F" wp14:editId="0CE46280">
                  <wp:extent cx="1357920" cy="9041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98534" cy="931167"/>
                          </a:xfrm>
                          <a:prstGeom prst="rect">
                            <a:avLst/>
                          </a:prstGeom>
                          <a:noFill/>
                          <a:ln>
                            <a:noFill/>
                          </a:ln>
                        </pic:spPr>
                      </pic:pic>
                    </a:graphicData>
                  </a:graphic>
                </wp:inline>
              </w:drawing>
            </w:r>
          </w:p>
        </w:tc>
        <w:tc>
          <w:tcPr>
            <w:tcW w:w="2410" w:type="dxa"/>
          </w:tcPr>
          <w:p w14:paraId="0CE461DE" w14:textId="77777777" w:rsidR="00916142" w:rsidRPr="00C41A78" w:rsidRDefault="00916142" w:rsidP="004E4A1C">
            <w:pPr>
              <w:rPr>
                <w:noProof/>
              </w:rPr>
            </w:pPr>
            <w:r w:rsidRPr="00C41A78">
              <w:rPr>
                <w:noProof/>
                <w:lang w:val="en-GB" w:eastAsia="en-GB"/>
              </w:rPr>
              <w:drawing>
                <wp:inline distT="0" distB="0" distL="0" distR="0" wp14:anchorId="0CE46281" wp14:editId="0CE46282">
                  <wp:extent cx="1344589" cy="895248"/>
                  <wp:effectExtent l="0" t="0" r="825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67286" cy="910360"/>
                          </a:xfrm>
                          <a:prstGeom prst="rect">
                            <a:avLst/>
                          </a:prstGeom>
                          <a:noFill/>
                          <a:ln>
                            <a:noFill/>
                          </a:ln>
                        </pic:spPr>
                      </pic:pic>
                    </a:graphicData>
                  </a:graphic>
                </wp:inline>
              </w:drawing>
            </w:r>
          </w:p>
        </w:tc>
        <w:tc>
          <w:tcPr>
            <w:tcW w:w="2409" w:type="dxa"/>
          </w:tcPr>
          <w:p w14:paraId="0CE461DF" w14:textId="77777777" w:rsidR="00916142" w:rsidRPr="00C41A78" w:rsidRDefault="00916142" w:rsidP="004E4A1C">
            <w:pPr>
              <w:rPr>
                <w:noProof/>
              </w:rPr>
            </w:pPr>
            <w:r w:rsidRPr="00D40DEC">
              <w:rPr>
                <w:noProof/>
                <w:lang w:val="en-GB" w:eastAsia="en-GB"/>
              </w:rPr>
              <w:drawing>
                <wp:inline distT="0" distB="0" distL="0" distR="0" wp14:anchorId="0CE46283" wp14:editId="0CE46284">
                  <wp:extent cx="1340207" cy="892330"/>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61626" cy="906591"/>
                          </a:xfrm>
                          <a:prstGeom prst="rect">
                            <a:avLst/>
                          </a:prstGeom>
                          <a:noFill/>
                          <a:ln>
                            <a:noFill/>
                          </a:ln>
                        </pic:spPr>
                      </pic:pic>
                    </a:graphicData>
                  </a:graphic>
                </wp:inline>
              </w:drawing>
            </w:r>
          </w:p>
        </w:tc>
      </w:tr>
      <w:tr w:rsidR="00916142" w14:paraId="0CE461E6" w14:textId="77777777" w:rsidTr="004E4A1C">
        <w:tc>
          <w:tcPr>
            <w:tcW w:w="412" w:type="dxa"/>
          </w:tcPr>
          <w:p w14:paraId="0CE461E1" w14:textId="77777777" w:rsidR="00916142" w:rsidRPr="00B8661C" w:rsidRDefault="00916142" w:rsidP="004E4A1C">
            <w:pPr>
              <w:rPr>
                <w:noProof/>
              </w:rPr>
            </w:pPr>
            <w:r>
              <w:rPr>
                <w:noProof/>
              </w:rPr>
              <w:t>4</w:t>
            </w:r>
          </w:p>
        </w:tc>
        <w:tc>
          <w:tcPr>
            <w:tcW w:w="2526" w:type="dxa"/>
          </w:tcPr>
          <w:p w14:paraId="0CE461E2" w14:textId="77777777" w:rsidR="00916142" w:rsidRPr="00C41A78" w:rsidRDefault="00916142" w:rsidP="004E4A1C">
            <w:pPr>
              <w:rPr>
                <w:noProof/>
              </w:rPr>
            </w:pPr>
            <w:r w:rsidRPr="00B8661C">
              <w:rPr>
                <w:noProof/>
                <w:lang w:val="en-GB" w:eastAsia="en-GB"/>
              </w:rPr>
              <w:drawing>
                <wp:inline distT="0" distB="0" distL="0" distR="0" wp14:anchorId="0CE46285" wp14:editId="0CE46286">
                  <wp:extent cx="1464310" cy="1063625"/>
                  <wp:effectExtent l="0" t="0" r="254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64310" cy="1063625"/>
                          </a:xfrm>
                          <a:prstGeom prst="rect">
                            <a:avLst/>
                          </a:prstGeom>
                          <a:noFill/>
                          <a:ln>
                            <a:noFill/>
                          </a:ln>
                        </pic:spPr>
                      </pic:pic>
                    </a:graphicData>
                  </a:graphic>
                </wp:inline>
              </w:drawing>
            </w:r>
          </w:p>
        </w:tc>
        <w:tc>
          <w:tcPr>
            <w:tcW w:w="2444" w:type="dxa"/>
          </w:tcPr>
          <w:p w14:paraId="0CE461E3" w14:textId="77777777" w:rsidR="00916142" w:rsidRPr="00C41A78" w:rsidRDefault="00916142" w:rsidP="004E4A1C">
            <w:pPr>
              <w:rPr>
                <w:noProof/>
              </w:rPr>
            </w:pPr>
            <w:r w:rsidRPr="002A1D08">
              <w:rPr>
                <w:noProof/>
                <w:lang w:val="en-GB" w:eastAsia="en-GB"/>
              </w:rPr>
              <w:drawing>
                <wp:inline distT="0" distB="0" distL="0" distR="0" wp14:anchorId="0CE46287" wp14:editId="0CE46288">
                  <wp:extent cx="1357630" cy="90393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67524" cy="910518"/>
                          </a:xfrm>
                          <a:prstGeom prst="rect">
                            <a:avLst/>
                          </a:prstGeom>
                          <a:noFill/>
                          <a:ln>
                            <a:noFill/>
                          </a:ln>
                        </pic:spPr>
                      </pic:pic>
                    </a:graphicData>
                  </a:graphic>
                </wp:inline>
              </w:drawing>
            </w:r>
          </w:p>
        </w:tc>
        <w:tc>
          <w:tcPr>
            <w:tcW w:w="2410" w:type="dxa"/>
          </w:tcPr>
          <w:p w14:paraId="0CE461E4" w14:textId="77777777" w:rsidR="00916142" w:rsidRPr="00C41A78" w:rsidRDefault="00916142" w:rsidP="004E4A1C">
            <w:pPr>
              <w:rPr>
                <w:noProof/>
              </w:rPr>
            </w:pPr>
            <w:r w:rsidRPr="002A1D08">
              <w:rPr>
                <w:noProof/>
                <w:lang w:val="en-GB" w:eastAsia="en-GB"/>
              </w:rPr>
              <w:drawing>
                <wp:inline distT="0" distB="0" distL="0" distR="0" wp14:anchorId="0CE46289" wp14:editId="0CE4628A">
                  <wp:extent cx="1361440" cy="906468"/>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2591" cy="913893"/>
                          </a:xfrm>
                          <a:prstGeom prst="rect">
                            <a:avLst/>
                          </a:prstGeom>
                          <a:noFill/>
                          <a:ln>
                            <a:noFill/>
                          </a:ln>
                        </pic:spPr>
                      </pic:pic>
                    </a:graphicData>
                  </a:graphic>
                </wp:inline>
              </w:drawing>
            </w:r>
          </w:p>
        </w:tc>
        <w:tc>
          <w:tcPr>
            <w:tcW w:w="2409" w:type="dxa"/>
          </w:tcPr>
          <w:p w14:paraId="0CE461E5" w14:textId="77777777" w:rsidR="00916142" w:rsidRPr="00D40DEC" w:rsidRDefault="00916142" w:rsidP="004E4A1C">
            <w:pPr>
              <w:rPr>
                <w:noProof/>
              </w:rPr>
            </w:pPr>
            <w:r w:rsidRPr="00CF1919">
              <w:rPr>
                <w:noProof/>
                <w:lang w:val="en-GB" w:eastAsia="en-GB"/>
              </w:rPr>
              <w:drawing>
                <wp:inline distT="0" distB="0" distL="0" distR="0" wp14:anchorId="0CE4628B" wp14:editId="0CE4628C">
                  <wp:extent cx="1330310" cy="885741"/>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59631" cy="905263"/>
                          </a:xfrm>
                          <a:prstGeom prst="rect">
                            <a:avLst/>
                          </a:prstGeom>
                          <a:noFill/>
                          <a:ln>
                            <a:noFill/>
                          </a:ln>
                        </pic:spPr>
                      </pic:pic>
                    </a:graphicData>
                  </a:graphic>
                </wp:inline>
              </w:drawing>
            </w:r>
          </w:p>
        </w:tc>
      </w:tr>
    </w:tbl>
    <w:p w14:paraId="0CE461E7" w14:textId="77777777" w:rsidR="00DB0ADA" w:rsidRDefault="00DB0ADA" w:rsidP="00D25567"/>
    <w:p w14:paraId="0CE461EA" w14:textId="74E73C36" w:rsidR="004553B7" w:rsidRDefault="00D25567" w:rsidP="00D25567">
      <w:pPr>
        <w:pStyle w:val="Heading2"/>
      </w:pPr>
      <w:r>
        <w:t xml:space="preserve">Standard </w:t>
      </w:r>
      <w:r w:rsidR="004E4A1C">
        <w:t>error</w:t>
      </w:r>
    </w:p>
    <w:p w14:paraId="0CE461EC" w14:textId="77777777" w:rsidR="00C41A78" w:rsidRDefault="00C41A78" w:rsidP="00D25567">
      <w:r>
        <w:t>The standard error is the standard deviation of the sampling distribution. It is a measure of how variable sample effect sizes will be given a population and a design. That is their fundamental usefulness when we use statistics in psychology.</w:t>
      </w:r>
    </w:p>
    <w:p w14:paraId="0CE461EE" w14:textId="77777777" w:rsidR="005E23C7" w:rsidRDefault="00C41A78" w:rsidP="00544003">
      <w:pPr>
        <w:ind w:firstLine="540"/>
      </w:pPr>
      <w:r>
        <w:t>In this further commentary, we cannot resist adding in a little extra feature of them that is not widely known. This extra feature requires a little maths but even of you don’t have this, there is something here to be seen.</w:t>
      </w:r>
    </w:p>
    <w:p w14:paraId="0CE461F0" w14:textId="77777777" w:rsidR="005E23C7" w:rsidRDefault="00C41A78" w:rsidP="00544003">
      <w:pPr>
        <w:ind w:firstLine="540"/>
      </w:pPr>
      <w:r>
        <w:t>Suppose that are interested in measuring the mean of a distribution and obtain a sample to get an estimated mean and standard error. For some reason, we want to change the scale we</w:t>
      </w:r>
      <w:r w:rsidR="007D6FD7">
        <w:t xml:space="preserve"> measured the distribution on. We’ll look at 3 cases and then explain it all:</w:t>
      </w:r>
    </w:p>
    <w:p w14:paraId="0CE461F2" w14:textId="43E868DB" w:rsidR="005E23C7" w:rsidRDefault="004E4A1C" w:rsidP="00544003">
      <w:pPr>
        <w:ind w:left="720" w:hanging="360"/>
      </w:pPr>
      <w:r>
        <w:rPr>
          <w:rFonts w:eastAsia="Calibri"/>
        </w:rPr>
        <w:t>1.</w:t>
      </w:r>
      <w:r>
        <w:rPr>
          <w:rFonts w:eastAsia="Calibri"/>
        </w:rPr>
        <w:tab/>
      </w:r>
      <w:r w:rsidR="007D6FD7">
        <w:t xml:space="preserve">Add a constant number. We have measured risk taking on a scale that goes from 0 to 5; someone else has measured it on a scale of 1 to 6. We want to compare. </w:t>
      </w:r>
    </w:p>
    <w:p w14:paraId="0CE461F3" w14:textId="460B63AA" w:rsidR="005E23C7" w:rsidRDefault="007D6FD7" w:rsidP="00544003">
      <w:pPr>
        <w:ind w:left="720"/>
      </w:pPr>
      <w:r>
        <w:t xml:space="preserve">It is easy to convert our mean value to theirs, by adding 1. </w:t>
      </w:r>
    </w:p>
    <w:p w14:paraId="0CE461F4" w14:textId="3DFB3CE3" w:rsidR="005E23C7" w:rsidRDefault="007D6FD7" w:rsidP="00544003">
      <w:pPr>
        <w:ind w:left="720"/>
      </w:pPr>
      <w:r>
        <w:t>It is also easy to convert our standard error: do nothing.</w:t>
      </w:r>
    </w:p>
    <w:p w14:paraId="0CE461F5" w14:textId="77777777" w:rsidR="005E23C7" w:rsidRDefault="007D6FD7" w:rsidP="00544003">
      <w:pPr>
        <w:ind w:left="720"/>
      </w:pPr>
      <w:r>
        <w:t>If we add a constant to a scale, then any standard error isn’t changed.</w:t>
      </w:r>
    </w:p>
    <w:p w14:paraId="0CE461F7" w14:textId="15AC8CC6" w:rsidR="005E23C7" w:rsidRDefault="004E4A1C" w:rsidP="00544003">
      <w:pPr>
        <w:ind w:left="720" w:hanging="360"/>
      </w:pPr>
      <w:r>
        <w:rPr>
          <w:rFonts w:eastAsia="Calibri"/>
        </w:rPr>
        <w:t>2.</w:t>
      </w:r>
      <w:r>
        <w:rPr>
          <w:rFonts w:eastAsia="Calibri"/>
        </w:rPr>
        <w:tab/>
      </w:r>
      <w:r w:rsidR="007D6FD7">
        <w:t>Multiply by a constant number. We have measured risk taking on a scale of 0</w:t>
      </w:r>
      <w:r w:rsidR="0001368E">
        <w:t>–</w:t>
      </w:r>
      <w:r w:rsidR="007D6FD7">
        <w:t>5, someone else has measured it on a scale of 0</w:t>
      </w:r>
      <w:r w:rsidR="0001368E">
        <w:t>–</w:t>
      </w:r>
      <w:r w:rsidR="007D6FD7">
        <w:t>10. We want to compare.</w:t>
      </w:r>
    </w:p>
    <w:p w14:paraId="0CE461F8" w14:textId="17A144ED" w:rsidR="005E23C7" w:rsidRDefault="007D6FD7" w:rsidP="00544003">
      <w:pPr>
        <w:ind w:left="720"/>
      </w:pPr>
      <w:r>
        <w:lastRenderedPageBreak/>
        <w:t xml:space="preserve">It is easy to convert our mean value to theirs, by multiplying by 2. </w:t>
      </w:r>
    </w:p>
    <w:p w14:paraId="0CE461F9" w14:textId="20DDE608" w:rsidR="005E23C7" w:rsidRDefault="007D6FD7" w:rsidP="00544003">
      <w:pPr>
        <w:ind w:left="720"/>
      </w:pPr>
      <w:r>
        <w:t>It is also easy to convert our standard error: multiply by 2.</w:t>
      </w:r>
    </w:p>
    <w:p w14:paraId="0CE461FA" w14:textId="77777777" w:rsidR="005E23C7" w:rsidRDefault="007D6FD7" w:rsidP="00544003">
      <w:pPr>
        <w:ind w:left="720"/>
      </w:pPr>
      <w:r>
        <w:t>If we multiply a scale by a constant, then any standard error is also multiplied by that constant.</w:t>
      </w:r>
    </w:p>
    <w:p w14:paraId="0CE461FD" w14:textId="2797FE1E" w:rsidR="004553B7" w:rsidRDefault="004E4A1C">
      <w:pPr>
        <w:ind w:left="720" w:hanging="360"/>
      </w:pPr>
      <w:r>
        <w:rPr>
          <w:rFonts w:eastAsia="Calibri"/>
        </w:rPr>
        <w:t>3.</w:t>
      </w:r>
      <w:r>
        <w:rPr>
          <w:rFonts w:eastAsia="Calibri"/>
        </w:rPr>
        <w:tab/>
      </w:r>
      <w:r w:rsidR="00FA3678">
        <w:t>Convert scale to a logarithmic scale.</w:t>
      </w:r>
    </w:p>
    <w:p w14:paraId="0CE461FE" w14:textId="0CFC8C4F" w:rsidR="005E23C7" w:rsidRDefault="005D21E8" w:rsidP="00544003">
      <w:pPr>
        <w:ind w:left="720"/>
      </w:pPr>
      <w:r>
        <w:t xml:space="preserve">It is easy to convert our mean value to theirs, by taking the log of it. </w:t>
      </w:r>
    </w:p>
    <w:p w14:paraId="0CE461FF" w14:textId="4F9F6A25" w:rsidR="005E23C7" w:rsidRDefault="005D21E8" w:rsidP="00544003">
      <w:pPr>
        <w:ind w:left="720"/>
      </w:pPr>
      <w:r>
        <w:t>It is also easy to convert our standard error: divide it by the mean value.</w:t>
      </w:r>
    </w:p>
    <w:p w14:paraId="0CE46200" w14:textId="77777777" w:rsidR="005E23C7" w:rsidRDefault="005D21E8" w:rsidP="00544003">
      <w:pPr>
        <w:ind w:left="720"/>
      </w:pPr>
      <w:r>
        <w:t>If replace a scale by its logarithm, then any standard error is divided by the mean.</w:t>
      </w:r>
    </w:p>
    <w:p w14:paraId="0CE46203" w14:textId="77777777" w:rsidR="005E23C7" w:rsidRDefault="00F039BE" w:rsidP="00544003">
      <w:pPr>
        <w:ind w:firstLine="540"/>
      </w:pPr>
      <w:r>
        <w:t>Explanation (this bit is mathematical, sorry</w:t>
      </w:r>
      <w:r w:rsidR="00A35771">
        <w:t>. Read on if you are interested!</w:t>
      </w:r>
      <w:r>
        <w:t>). The standard error can be treated as a gradient on the measurement scale. technically it behaves as a partial derivative.</w:t>
      </w:r>
    </w:p>
    <w:p w14:paraId="0CE46205" w14:textId="77777777" w:rsidR="005E23C7" w:rsidRDefault="00F039BE" w:rsidP="00544003">
      <w:pPr>
        <w:ind w:firstLine="540"/>
      </w:pPr>
      <w:r>
        <w:t>If we add a constant number to a scale, we don’t change the gradient of the scale, so we don’t have to change the standard error.</w:t>
      </w:r>
    </w:p>
    <w:p w14:paraId="0CE46208" w14:textId="21BE02BE" w:rsidR="004553B7" w:rsidRDefault="00F039BE">
      <w:pPr>
        <w:ind w:firstLine="540"/>
      </w:pPr>
      <w:r>
        <w:t>If we multiply a scale by a constant, we have also multiplied the gradient by that constant, so we multiply the standard error by the constant.</w:t>
      </w:r>
    </w:p>
    <w:p w14:paraId="0CE4620B" w14:textId="3E1A8DB4" w:rsidR="004553B7" w:rsidRDefault="00F039BE">
      <w:pPr>
        <w:ind w:firstLine="540"/>
      </w:pPr>
      <w:r>
        <w:t>If we replace a scale by its logarithm, then the gradient is changed differently everywhere. Here, calculus makes life easy:</w:t>
      </w:r>
    </w:p>
    <w:p w14:paraId="0CE4620D" w14:textId="00726265" w:rsidR="005E23C7" w:rsidRDefault="0001368E" w:rsidP="00544003">
      <w:pPr>
        <w:ind w:firstLine="540"/>
      </w:pPr>
      <w:r>
        <w:t>W</w:t>
      </w:r>
      <w:r w:rsidR="00F039BE">
        <w:t>e have:</w:t>
      </w:r>
    </w:p>
    <w:bookmarkStart w:id="1" w:name="MTBlankEqn"/>
    <w:p w14:paraId="0CE4620E" w14:textId="77777777" w:rsidR="005E23C7" w:rsidRDefault="004E4A1C" w:rsidP="00544003">
      <w:pPr>
        <w:ind w:left="720"/>
        <w:jc w:val="center"/>
        <w:rPr>
          <w:rFonts w:eastAsiaTheme="minorEastAsia"/>
        </w:rPr>
      </w:pPr>
      <w:r w:rsidRPr="004E4A1C">
        <w:rPr>
          <w:position w:val="-14"/>
        </w:rPr>
        <w:object w:dxaOrig="1260" w:dyaOrig="400" w14:anchorId="0CE462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15pt;height:19.7pt" o:ole="">
            <v:imagedata r:id="rId25" o:title=""/>
          </v:shape>
          <o:OLEObject Type="Embed" ProgID="Equation.DSMT4" ShapeID="_x0000_i1025" DrawAspect="Content" ObjectID="_1619010733" r:id="rId26"/>
        </w:object>
      </w:r>
      <w:bookmarkEnd w:id="1"/>
    </w:p>
    <w:p w14:paraId="0CE4620F" w14:textId="3F3566BA" w:rsidR="005E23C7" w:rsidRDefault="0001368E" w:rsidP="00544003">
      <w:pPr>
        <w:ind w:firstLine="540"/>
      </w:pPr>
      <w:r>
        <w:rPr>
          <w:rFonts w:eastAsiaTheme="minorEastAsia"/>
        </w:rPr>
        <w:t xml:space="preserve">We </w:t>
      </w:r>
      <w:r w:rsidR="00F039BE">
        <w:rPr>
          <w:rFonts w:eastAsiaTheme="minorEastAsia"/>
        </w:rPr>
        <w:t>can differentiate:</w:t>
      </w:r>
    </w:p>
    <w:p w14:paraId="0CE46210" w14:textId="77777777" w:rsidR="005E23C7" w:rsidRDefault="004E4A1C" w:rsidP="00544003">
      <w:pPr>
        <w:ind w:left="720"/>
        <w:jc w:val="center"/>
      </w:pPr>
      <w:r w:rsidRPr="004E4A1C">
        <w:rPr>
          <w:position w:val="-24"/>
        </w:rPr>
        <w:object w:dxaOrig="1380" w:dyaOrig="620" w14:anchorId="0CE4628E">
          <v:shape id="_x0000_i1026" type="#_x0000_t75" style="width:69.3pt;height:30.55pt" o:ole="">
            <v:imagedata r:id="rId27" o:title=""/>
          </v:shape>
          <o:OLEObject Type="Embed" ProgID="Equation.DSMT4" ShapeID="_x0000_i1026" DrawAspect="Content" ObjectID="_1619010734" r:id="rId28"/>
        </w:object>
      </w:r>
    </w:p>
    <w:p w14:paraId="0CE46213" w14:textId="3F895370" w:rsidR="005E23C7" w:rsidRDefault="0001368E" w:rsidP="00544003">
      <w:pPr>
        <w:ind w:left="540"/>
      </w:pPr>
      <w:r>
        <w:t>T</w:t>
      </w:r>
      <w:r w:rsidR="00F039BE">
        <w:t>reating the partial operators (</w:t>
      </w:r>
      <w:r w:rsidR="00F039BE" w:rsidRPr="00544003">
        <w:rPr>
          <w:i/>
        </w:rPr>
        <w:t>dx</w:t>
      </w:r>
      <w:r w:rsidR="00F039BE">
        <w:t>) as standard errors (</w:t>
      </w:r>
      <w:r w:rsidR="00F039BE" w:rsidRPr="00544003">
        <w:rPr>
          <w:i/>
        </w:rPr>
        <w:t>se</w:t>
      </w:r>
      <w:r w:rsidR="00F039BE">
        <w:t>(</w:t>
      </w:r>
      <w:r w:rsidR="00F039BE" w:rsidRPr="00544003">
        <w:rPr>
          <w:i/>
        </w:rPr>
        <w:t>x</w:t>
      </w:r>
      <w:r w:rsidR="00F039BE">
        <w:t>))</w:t>
      </w:r>
      <w:r>
        <w:t xml:space="preserve">, </w:t>
      </w:r>
      <w:r w:rsidR="00F039BE">
        <w:t>we can then see that:</w:t>
      </w:r>
    </w:p>
    <w:bookmarkStart w:id="2" w:name="_Hlk526500295"/>
    <w:p w14:paraId="0CE46215" w14:textId="1B3D7FA0" w:rsidR="005E23C7" w:rsidRDefault="004E4A1C" w:rsidP="00544003">
      <w:pPr>
        <w:pStyle w:val="MTDisplayEquation"/>
        <w:jc w:val="center"/>
      </w:pPr>
      <w:r w:rsidRPr="004E4A1C">
        <w:rPr>
          <w:position w:val="-14"/>
        </w:rPr>
        <w:object w:dxaOrig="2220" w:dyaOrig="400" w14:anchorId="0CE4628F">
          <v:shape id="_x0000_i1027" type="#_x0000_t75" style="width:110.7pt;height:19.7pt" o:ole="">
            <v:imagedata r:id="rId29" o:title=""/>
          </v:shape>
          <o:OLEObject Type="Embed" ProgID="Equation.DSMT4" ShapeID="_x0000_i1027" DrawAspect="Content" ObjectID="_1619010735" r:id="rId30"/>
        </w:object>
      </w:r>
      <w:bookmarkEnd w:id="2"/>
    </w:p>
    <w:p w14:paraId="0CE46216" w14:textId="77777777" w:rsidR="005E23C7" w:rsidRDefault="00F039BE" w:rsidP="00544003">
      <w:pPr>
        <w:ind w:left="540"/>
      </w:pPr>
      <w:r>
        <w:t>For the specific example:</w:t>
      </w:r>
    </w:p>
    <w:p w14:paraId="0CE46218" w14:textId="50227C0D" w:rsidR="005E23C7" w:rsidRDefault="004E4A1C" w:rsidP="00544003">
      <w:pPr>
        <w:pStyle w:val="MTDisplayEquation"/>
        <w:jc w:val="center"/>
        <w:rPr>
          <w:rFonts w:eastAsiaTheme="minorEastAsia"/>
        </w:rPr>
      </w:pPr>
      <w:r w:rsidRPr="004E4A1C">
        <w:rPr>
          <w:position w:val="-14"/>
        </w:rPr>
        <w:object w:dxaOrig="1420" w:dyaOrig="400" w14:anchorId="0CE46290">
          <v:shape id="_x0000_i1028" type="#_x0000_t75" style="width:71.3pt;height:19.7pt" o:ole="">
            <v:imagedata r:id="rId31" o:title=""/>
          </v:shape>
          <o:OLEObject Type="Embed" ProgID="Equation.DSMT4" ShapeID="_x0000_i1028" DrawAspect="Content" ObjectID="_1619010736" r:id="rId32"/>
        </w:object>
      </w:r>
    </w:p>
    <w:p w14:paraId="0CE46219" w14:textId="55FDEFCA" w:rsidR="005E23C7" w:rsidRDefault="00F039BE" w:rsidP="00544003">
      <w:pPr>
        <w:ind w:left="540"/>
        <w:rPr>
          <w:rFonts w:eastAsiaTheme="minorEastAsia"/>
        </w:rPr>
      </w:pPr>
      <w:r>
        <w:rPr>
          <w:rFonts w:eastAsiaTheme="minorEastAsia"/>
        </w:rPr>
        <w:t>Since</w:t>
      </w:r>
    </w:p>
    <w:p w14:paraId="0CE4621A" w14:textId="77777777" w:rsidR="005E23C7" w:rsidRDefault="004E4A1C" w:rsidP="00544003">
      <w:pPr>
        <w:pStyle w:val="MTDisplayEquation"/>
        <w:jc w:val="center"/>
      </w:pPr>
      <w:r w:rsidRPr="004E4A1C">
        <w:rPr>
          <w:position w:val="-24"/>
        </w:rPr>
        <w:object w:dxaOrig="1380" w:dyaOrig="660" w14:anchorId="0CE46291">
          <v:shape id="_x0000_i1029" type="#_x0000_t75" style="width:69.3pt;height:33.3pt" o:ole="">
            <v:imagedata r:id="rId33" o:title=""/>
          </v:shape>
          <o:OLEObject Type="Embed" ProgID="Equation.DSMT4" ShapeID="_x0000_i1029" DrawAspect="Content" ObjectID="_1619010737" r:id="rId34"/>
        </w:object>
      </w:r>
    </w:p>
    <w:p w14:paraId="0CE4621B" w14:textId="77777777" w:rsidR="005E23C7" w:rsidRDefault="004E4A1C" w:rsidP="00544003">
      <w:pPr>
        <w:pStyle w:val="MTDisplayEquation"/>
        <w:jc w:val="center"/>
      </w:pPr>
      <w:r w:rsidRPr="004E4A1C">
        <w:rPr>
          <w:position w:val="-24"/>
        </w:rPr>
        <w:object w:dxaOrig="1680" w:dyaOrig="660" w14:anchorId="0CE46292">
          <v:shape id="_x0000_i1030" type="#_x0000_t75" style="width:84.25pt;height:33.3pt" o:ole="">
            <v:imagedata r:id="rId35" o:title=""/>
          </v:shape>
          <o:OLEObject Type="Embed" ProgID="Equation.DSMT4" ShapeID="_x0000_i1030" DrawAspect="Content" ObjectID="_1619010738" r:id="rId36"/>
        </w:object>
      </w:r>
    </w:p>
    <w:p w14:paraId="0CE4621F" w14:textId="6BF7BC50" w:rsidR="004553B7" w:rsidRDefault="00D25567" w:rsidP="00D25567">
      <w:pPr>
        <w:pStyle w:val="Heading2"/>
      </w:pPr>
      <w:r>
        <w:t xml:space="preserve">Maximum </w:t>
      </w:r>
      <w:r w:rsidR="004E4A1C">
        <w:t>likelihood</w:t>
      </w:r>
    </w:p>
    <w:p w14:paraId="0CE46221" w14:textId="77777777" w:rsidR="009D4082" w:rsidRDefault="009D4082" w:rsidP="00D25567">
      <w:r>
        <w:t>It will seem quite obvious to</w:t>
      </w:r>
      <w:r w:rsidR="00C62F49">
        <w:t xml:space="preserve"> some</w:t>
      </w:r>
      <w:r>
        <w:t xml:space="preserve"> readers that the sample mean or sample effect size is the best estimate of the population mean or population effect size. From a more rigorous, mathematical standpoint, this is something that requires proof. We will not supply the proof here, but instead explain how that proof works so that the non-mathematical reader can still get a sense of what it all means.</w:t>
      </w:r>
    </w:p>
    <w:p w14:paraId="0CE46224" w14:textId="7847ED98" w:rsidR="004553B7" w:rsidRDefault="007E503B">
      <w:pPr>
        <w:ind w:firstLine="540"/>
      </w:pPr>
      <w:r>
        <w:t>Think about this. I measure the IQ of 4 students and the scores I get are 101, 107, 96 &amp; 104. The mean of these is 102. My sample mean is 102 and I am going to believe that this is the best estimate I have of the mean of the distribution of student IQs. Now we can ask what the likelihood is that a population of mean 102 (and sd=15) would give me a single participant with an IQ of 101 (the first</w:t>
      </w:r>
      <w:r w:rsidR="00A73A57">
        <w:t xml:space="preserve"> of my measured IQs). It will be some small number. We can do the same thing for each of the measured values.</w:t>
      </w:r>
    </w:p>
    <w:p w14:paraId="0CE46227" w14:textId="659D2D7F" w:rsidR="004553B7" w:rsidRDefault="00A73A57">
      <w:pPr>
        <w:ind w:firstLine="540"/>
      </w:pPr>
      <w:r>
        <w:t>From those individual likelihoods, we can calculate the overall likelihood of a distribution of mean 102 giving us the 4 values we started with. This is the product of the individual likelihoods. We could exhaustively try all possible populations and find the one that has the highest likelihood (the maximum likelihood).</w:t>
      </w:r>
    </w:p>
    <w:p w14:paraId="0CE46229" w14:textId="77777777" w:rsidR="005E23C7" w:rsidRDefault="00A73A57" w:rsidP="00544003">
      <w:pPr>
        <w:ind w:firstLine="540"/>
      </w:pPr>
      <w:r>
        <w:t>However, the formula for a normal distribution allows us to do something more useful. The likelihood of getting a value of x from a normal distribution with mean M and standard deviation S is this:</w:t>
      </w:r>
    </w:p>
    <w:p w14:paraId="0CE4622B" w14:textId="77777777" w:rsidR="00A73A57" w:rsidRPr="00A73A57" w:rsidRDefault="004E4A1C" w:rsidP="00544003">
      <w:pPr>
        <w:pStyle w:val="MTDisplayEquation"/>
        <w:jc w:val="center"/>
        <w:rPr>
          <w:rFonts w:eastAsiaTheme="minorEastAsia"/>
        </w:rPr>
      </w:pPr>
      <w:r w:rsidRPr="004E4A1C">
        <w:rPr>
          <w:position w:val="-38"/>
        </w:rPr>
        <w:object w:dxaOrig="2620" w:dyaOrig="880" w14:anchorId="0CE46293">
          <v:shape id="_x0000_i1031" type="#_x0000_t75" style="width:130.4pt;height:44.15pt" o:ole="">
            <v:imagedata r:id="rId37" o:title=""/>
          </v:shape>
          <o:OLEObject Type="Embed" ProgID="Equation.DSMT4" ShapeID="_x0000_i1031" DrawAspect="Content" ObjectID="_1619010739" r:id="rId38"/>
        </w:object>
      </w:r>
    </w:p>
    <w:p w14:paraId="0CE4622D" w14:textId="77777777" w:rsidR="00A73A57" w:rsidRDefault="00A73A57" w:rsidP="00544003">
      <w:pPr>
        <w:ind w:firstLine="540"/>
        <w:rPr>
          <w:rFonts w:eastAsiaTheme="minorEastAsia"/>
        </w:rPr>
      </w:pPr>
      <w:r>
        <w:rPr>
          <w:rFonts w:eastAsiaTheme="minorEastAsia"/>
        </w:rPr>
        <w:t xml:space="preserve">The likelihood of getting 2 values, </w:t>
      </w:r>
      <w:r w:rsidRPr="00544003">
        <w:rPr>
          <w:rFonts w:eastAsiaTheme="minorEastAsia"/>
          <w:i/>
        </w:rPr>
        <w:t>x</w:t>
      </w:r>
      <w:r>
        <w:rPr>
          <w:rFonts w:eastAsiaTheme="minorEastAsia"/>
        </w:rPr>
        <w:t xml:space="preserve">1 and </w:t>
      </w:r>
      <w:r w:rsidRPr="00544003">
        <w:rPr>
          <w:rFonts w:eastAsiaTheme="minorEastAsia"/>
          <w:i/>
        </w:rPr>
        <w:t>x</w:t>
      </w:r>
      <w:r>
        <w:rPr>
          <w:rFonts w:eastAsiaTheme="minorEastAsia"/>
        </w:rPr>
        <w:t>2 is given by this:</w:t>
      </w:r>
    </w:p>
    <w:p w14:paraId="0CE4622E" w14:textId="77777777" w:rsidR="00A73A57" w:rsidRPr="00A73A57" w:rsidRDefault="004E4A1C" w:rsidP="00544003">
      <w:pPr>
        <w:pStyle w:val="MTDisplayEquation"/>
        <w:jc w:val="center"/>
        <w:rPr>
          <w:rFonts w:eastAsiaTheme="minorEastAsia"/>
        </w:rPr>
      </w:pPr>
      <w:r w:rsidRPr="004E4A1C">
        <w:rPr>
          <w:position w:val="-38"/>
        </w:rPr>
        <w:object w:dxaOrig="5160" w:dyaOrig="880" w14:anchorId="0CE46294">
          <v:shape id="_x0000_i1032" type="#_x0000_t75" style="width:258.1pt;height:44.15pt" o:ole="">
            <v:imagedata r:id="rId39" o:title=""/>
          </v:shape>
          <o:OLEObject Type="Embed" ProgID="Equation.DSMT4" ShapeID="_x0000_i1032" DrawAspect="Content" ObjectID="_1619010740" r:id="rId40"/>
        </w:object>
      </w:r>
    </w:p>
    <w:p w14:paraId="0CE46230" w14:textId="77777777" w:rsidR="005E23C7" w:rsidRDefault="00A73A57">
      <w:r>
        <w:t>or, more usefully, the log likelihood is:</w:t>
      </w:r>
    </w:p>
    <w:p w14:paraId="0CE46231" w14:textId="77777777" w:rsidR="00A73A57" w:rsidRPr="00A73A57" w:rsidRDefault="004E4A1C" w:rsidP="00544003">
      <w:pPr>
        <w:pStyle w:val="MTDisplayEquation"/>
        <w:jc w:val="center"/>
        <w:rPr>
          <w:rFonts w:eastAsiaTheme="minorEastAsia"/>
        </w:rPr>
      </w:pPr>
      <w:r w:rsidRPr="004E4A1C">
        <w:rPr>
          <w:position w:val="-24"/>
        </w:rPr>
        <w:object w:dxaOrig="4560" w:dyaOrig="720" w14:anchorId="0CE46295">
          <v:shape id="_x0000_i1033" type="#_x0000_t75" style="width:228.25pt;height:36pt" o:ole="">
            <v:imagedata r:id="rId41" o:title=""/>
          </v:shape>
          <o:OLEObject Type="Embed" ProgID="Equation.DSMT4" ShapeID="_x0000_i1033" DrawAspect="Content" ObjectID="_1619010741" r:id="rId42"/>
        </w:object>
      </w:r>
    </w:p>
    <w:p w14:paraId="0CE46234" w14:textId="56690ADD" w:rsidR="004553B7" w:rsidRDefault="00824CDE" w:rsidP="00544003">
      <w:pPr>
        <w:rPr>
          <w:rFonts w:eastAsiaTheme="minorEastAsia"/>
        </w:rPr>
      </w:pPr>
      <w:r>
        <w:rPr>
          <w:rFonts w:eastAsiaTheme="minorEastAsia"/>
        </w:rPr>
        <w:lastRenderedPageBreak/>
        <w:t>and our task is to find out what value of M sets this quantity to its minimum.</w:t>
      </w:r>
    </w:p>
    <w:p w14:paraId="0CE46236" w14:textId="77777777" w:rsidR="00824CDE" w:rsidRDefault="00824CDE" w:rsidP="00A73A57">
      <w:pPr>
        <w:rPr>
          <w:rFonts w:eastAsiaTheme="minorEastAsia"/>
        </w:rPr>
      </w:pPr>
      <w:r>
        <w:rPr>
          <w:rFonts w:eastAsiaTheme="minorEastAsia"/>
        </w:rPr>
        <w:t>Mathematically, we equate the derivative of this to zero, to find the value of M that gives the highest log likelihood. That leads to solve this equation:</w:t>
      </w:r>
    </w:p>
    <w:p w14:paraId="0CE46237" w14:textId="77777777" w:rsidR="00824CDE" w:rsidRPr="00A73A57" w:rsidRDefault="004E4A1C" w:rsidP="00544003">
      <w:pPr>
        <w:pStyle w:val="MTDisplayEquation"/>
        <w:jc w:val="center"/>
        <w:rPr>
          <w:rFonts w:eastAsiaTheme="minorEastAsia"/>
        </w:rPr>
      </w:pPr>
      <w:r w:rsidRPr="004E4A1C">
        <w:rPr>
          <w:position w:val="-14"/>
        </w:rPr>
        <w:object w:dxaOrig="2360" w:dyaOrig="400" w14:anchorId="0CE46296">
          <v:shape id="_x0000_i1034" type="#_x0000_t75" style="width:118.2pt;height:19.7pt" o:ole="">
            <v:imagedata r:id="rId43" o:title=""/>
          </v:shape>
          <o:OLEObject Type="Embed" ProgID="Equation.DSMT4" ShapeID="_x0000_i1034" DrawAspect="Content" ObjectID="_1619010742" r:id="rId44"/>
        </w:object>
      </w:r>
    </w:p>
    <w:p w14:paraId="0CE46239" w14:textId="17F86713" w:rsidR="005E23C7" w:rsidRDefault="0001368E" w:rsidP="00544003">
      <w:pPr>
        <w:ind w:left="540"/>
        <w:rPr>
          <w:rFonts w:eastAsiaTheme="minorEastAsia"/>
        </w:rPr>
      </w:pPr>
      <w:r>
        <w:rPr>
          <w:rFonts w:eastAsiaTheme="minorEastAsia"/>
        </w:rPr>
        <w:t>F</w:t>
      </w:r>
      <w:r w:rsidR="00824CDE">
        <w:rPr>
          <w:rFonts w:eastAsiaTheme="minorEastAsia"/>
        </w:rPr>
        <w:t xml:space="preserve">rom this we have </w:t>
      </w:r>
      <w:r w:rsidR="004E4A1C" w:rsidRPr="004E4A1C">
        <w:rPr>
          <w:position w:val="-14"/>
        </w:rPr>
        <w:object w:dxaOrig="1680" w:dyaOrig="400" w14:anchorId="0CE46297">
          <v:shape id="_x0000_i1035" type="#_x0000_t75" style="width:84.25pt;height:19.7pt" o:ole="">
            <v:imagedata r:id="rId45" o:title=""/>
          </v:shape>
          <o:OLEObject Type="Embed" ProgID="Equation.DSMT4" ShapeID="_x0000_i1035" DrawAspect="Content" ObjectID="_1619010743" r:id="rId46"/>
        </w:object>
      </w:r>
    </w:p>
    <w:p w14:paraId="0CE4623B" w14:textId="47E394C4" w:rsidR="00824CDE" w:rsidRDefault="00824CDE" w:rsidP="00544003">
      <w:pPr>
        <w:jc w:val="center"/>
        <w:rPr>
          <w:rFonts w:eastAsiaTheme="minorEastAsia"/>
        </w:rPr>
      </w:pPr>
      <w:r>
        <w:rPr>
          <w:rFonts w:eastAsiaTheme="minorEastAsia"/>
        </w:rPr>
        <w:t>or</w:t>
      </w:r>
      <w:r w:rsidR="004E4A1C">
        <w:rPr>
          <w:rFonts w:eastAsiaTheme="minorEastAsia"/>
        </w:rPr>
        <w:t xml:space="preserve"> </w:t>
      </w:r>
      <w:r w:rsidR="004E4A1C" w:rsidRPr="004E4A1C">
        <w:rPr>
          <w:position w:val="-24"/>
        </w:rPr>
        <w:object w:dxaOrig="1080" w:dyaOrig="620" w14:anchorId="0CE46298">
          <v:shape id="_x0000_i1036" type="#_x0000_t75" style="width:54.35pt;height:30.55pt" o:ole="">
            <v:imagedata r:id="rId47" o:title=""/>
          </v:shape>
          <o:OLEObject Type="Embed" ProgID="Equation.DSMT4" ShapeID="_x0000_i1036" DrawAspect="Content" ObjectID="_1619010744" r:id="rId48"/>
        </w:object>
      </w:r>
    </w:p>
    <w:p w14:paraId="0CE4623D" w14:textId="77777777" w:rsidR="00824CDE" w:rsidRDefault="00824CDE" w:rsidP="00544003">
      <w:pPr>
        <w:ind w:left="540"/>
        <w:rPr>
          <w:rFonts w:eastAsiaTheme="minorEastAsia"/>
        </w:rPr>
      </w:pPr>
      <w:r>
        <w:rPr>
          <w:rFonts w:eastAsiaTheme="minorEastAsia"/>
        </w:rPr>
        <w:t>You will be able to see how to extend this to more than two values:</w:t>
      </w:r>
    </w:p>
    <w:p w14:paraId="0CE4623E" w14:textId="77777777" w:rsidR="00824CDE" w:rsidRDefault="004E4A1C" w:rsidP="00544003">
      <w:pPr>
        <w:jc w:val="center"/>
        <w:rPr>
          <w:rFonts w:eastAsiaTheme="minorEastAsia"/>
        </w:rPr>
      </w:pPr>
      <w:r w:rsidRPr="004E4A1C">
        <w:rPr>
          <w:position w:val="-28"/>
        </w:rPr>
        <w:object w:dxaOrig="1120" w:dyaOrig="680" w14:anchorId="0CE46299">
          <v:shape id="_x0000_i1037" type="#_x0000_t75" style="width:56.4pt;height:34.65pt" o:ole="">
            <v:imagedata r:id="rId49" o:title=""/>
          </v:shape>
          <o:OLEObject Type="Embed" ProgID="Equation.DSMT4" ShapeID="_x0000_i1037" DrawAspect="Content" ObjectID="_1619010745" r:id="rId50"/>
        </w:object>
      </w:r>
    </w:p>
    <w:p w14:paraId="0CE46242" w14:textId="3C621D5C" w:rsidR="004553B7" w:rsidRDefault="00FF6B42" w:rsidP="004C13B0">
      <w:pPr>
        <w:pStyle w:val="Heading2"/>
      </w:pPr>
      <w:r>
        <w:t xml:space="preserve">Using </w:t>
      </w:r>
      <w:r w:rsidR="00D95DC0">
        <w:t>F</w:t>
      </w:r>
      <w:r w:rsidR="0091708E">
        <w:t xml:space="preserve">isher </w:t>
      </w:r>
      <w:r w:rsidR="00D25567" w:rsidRPr="00544003">
        <w:rPr>
          <w:b w:val="0"/>
          <w:bCs w:val="0"/>
          <w:i/>
        </w:rPr>
        <w:t>Z</w:t>
      </w:r>
      <w:r w:rsidR="008865CB">
        <w:t xml:space="preserve"> to </w:t>
      </w:r>
      <w:r w:rsidR="0091708E">
        <w:t xml:space="preserve">calculate confidence limits </w:t>
      </w:r>
      <w:r w:rsidR="008865CB">
        <w:t xml:space="preserve">for </w:t>
      </w:r>
      <w:r w:rsidR="0091708E">
        <w:t>normalized effect sizes</w:t>
      </w:r>
    </w:p>
    <w:p w14:paraId="0CE46244" w14:textId="77777777" w:rsidR="004C13B0" w:rsidRDefault="000230C4" w:rsidP="004C13B0">
      <w:r>
        <w:t>Confidence limits for some quantities (such as a mean) are easily calculated as being the mean itself plus and minus 1.96 times the standard error. For normalized effect sizes, the calculation is more complex.</w:t>
      </w:r>
    </w:p>
    <w:p w14:paraId="0CE46247" w14:textId="0EDB196B" w:rsidR="004553B7" w:rsidRDefault="000230C4">
      <w:pPr>
        <w:ind w:firstLine="540"/>
      </w:pPr>
      <w:r>
        <w:t xml:space="preserve">The broad logic is that the sampling distribution and therefore the likelihood function for sample means is symmetric and normally distributed. For normalized effect sizes, they are not. But there exists a way of making them symmetric and normal, called the Fisher </w:t>
      </w:r>
      <w:r w:rsidR="00D95DC0">
        <w:t>Z</w:t>
      </w:r>
      <w:r>
        <w:t xml:space="preserve">-transform. The </w:t>
      </w:r>
      <w:r w:rsidR="00D95DC0">
        <w:t>Fisher Z</w:t>
      </w:r>
      <w:r>
        <w:t>-transform has the additional nice property that the standard deviation of the normal distribution it produces is determined solely by the sample size, n.</w:t>
      </w:r>
    </w:p>
    <w:p w14:paraId="0CE46249" w14:textId="19FC58CB" w:rsidR="005E23C7" w:rsidRDefault="000230C4" w:rsidP="00544003">
      <w:pPr>
        <w:ind w:firstLine="540"/>
      </w:pPr>
      <w:r>
        <w:t xml:space="preserve">So, we take the estimated effect size and sample size, apply the </w:t>
      </w:r>
      <w:r w:rsidR="00D95DC0">
        <w:t>Fisher Z</w:t>
      </w:r>
      <w:r>
        <w:t>-transform. Then we calculate the confidence limits in that transformed scale.</w:t>
      </w:r>
      <w:r w:rsidR="000E4110">
        <w:t xml:space="preserve"> Then we reverse the transform to bring our result back to the scale we want (the original normalized effect size scale).</w:t>
      </w:r>
    </w:p>
    <w:p w14:paraId="0CE4624B" w14:textId="5A8DF982" w:rsidR="004C13B0" w:rsidRPr="00544003" w:rsidRDefault="004C13B0" w:rsidP="004C13B0">
      <w:pPr>
        <w:rPr>
          <w:b/>
        </w:rPr>
      </w:pPr>
      <w:r w:rsidRPr="00544003">
        <w:rPr>
          <w:b/>
        </w:rPr>
        <w:t xml:space="preserve">Step 1: </w:t>
      </w:r>
      <w:r w:rsidR="0001368E">
        <w:rPr>
          <w:b/>
        </w:rPr>
        <w:t>T</w:t>
      </w:r>
      <w:r w:rsidR="0001368E" w:rsidRPr="00544003">
        <w:rPr>
          <w:b/>
        </w:rPr>
        <w:t xml:space="preserve">ransform </w:t>
      </w:r>
      <w:r w:rsidRPr="00544003">
        <w:rPr>
          <w:b/>
        </w:rPr>
        <w:t xml:space="preserve">to </w:t>
      </w:r>
      <w:r w:rsidRPr="0001368E">
        <w:rPr>
          <w:b/>
          <w:i/>
        </w:rPr>
        <w:t>z</w:t>
      </w:r>
    </w:p>
    <w:p w14:paraId="0CE4624E" w14:textId="48A5628F" w:rsidR="004553B7" w:rsidRDefault="004C13B0" w:rsidP="004C13B0">
      <w:r>
        <w:t xml:space="preserve">We start by </w:t>
      </w:r>
      <w:r w:rsidRPr="00F25835">
        <w:t xml:space="preserve">converting </w:t>
      </w:r>
      <w:r>
        <w:t xml:space="preserve">the normalized effect size, </w:t>
      </w:r>
      <w:r w:rsidRPr="00544003">
        <w:rPr>
          <w:i/>
        </w:rPr>
        <w:t>r</w:t>
      </w:r>
      <w:r>
        <w:t>,</w:t>
      </w:r>
      <w:r w:rsidRPr="00F25835">
        <w:t xml:space="preserve"> to a (yet another) new measure of effect-size (we will call it </w:t>
      </w:r>
      <w:r w:rsidRPr="00544003">
        <w:rPr>
          <w:i/>
        </w:rPr>
        <w:t>z</w:t>
      </w:r>
      <w:r w:rsidRPr="00F25835">
        <w:t xml:space="preserve"> here): this conversion is called the </w:t>
      </w:r>
      <w:r w:rsidRPr="00F25835">
        <w:rPr>
          <w:b/>
        </w:rPr>
        <w:t xml:space="preserve">Fisher </w:t>
      </w:r>
      <w:r w:rsidR="00D95DC0">
        <w:rPr>
          <w:b/>
        </w:rPr>
        <w:t>Z</w:t>
      </w:r>
      <w:r w:rsidRPr="00F25835">
        <w:rPr>
          <w:b/>
        </w:rPr>
        <w:t>-transformation</w:t>
      </w:r>
      <w:r w:rsidRPr="00F25835">
        <w:t>:</w:t>
      </w:r>
    </w:p>
    <w:p w14:paraId="0CE46250" w14:textId="0367CEE4" w:rsidR="004C13B0" w:rsidRPr="00F25835" w:rsidRDefault="004C13B0" w:rsidP="0091708E">
      <w:pPr>
        <w:ind w:left="540"/>
      </w:pPr>
      <w:r w:rsidRPr="00544003">
        <w:rPr>
          <w:i/>
        </w:rPr>
        <w:t>z</w:t>
      </w:r>
      <w:r w:rsidRPr="00F25835">
        <w:t xml:space="preserve"> = </w:t>
      </w:r>
      <w:r w:rsidRPr="00544003">
        <w:rPr>
          <w:i/>
        </w:rPr>
        <w:t>a</w:t>
      </w:r>
      <w:r w:rsidRPr="00F25835">
        <w:t>tan</w:t>
      </w:r>
      <w:r w:rsidRPr="00544003">
        <w:rPr>
          <w:i/>
        </w:rPr>
        <w:t>h</w:t>
      </w:r>
      <w:r w:rsidRPr="00F25835">
        <w:t>(</w:t>
      </w:r>
      <w:r w:rsidRPr="00544003">
        <w:rPr>
          <w:i/>
        </w:rPr>
        <w:t>r</w:t>
      </w:r>
      <w:r w:rsidRPr="00F25835">
        <w:t>)</w:t>
      </w:r>
    </w:p>
    <w:p w14:paraId="0CE46252" w14:textId="77777777" w:rsidR="005E23C7" w:rsidRDefault="004C13B0" w:rsidP="00544003">
      <w:pPr>
        <w:ind w:firstLine="540"/>
      </w:pPr>
      <w:r w:rsidRPr="00F25835">
        <w:t xml:space="preserve">The transformation </w:t>
      </w:r>
      <w:r>
        <w:t xml:space="preserve">is useful because it </w:t>
      </w:r>
      <w:r w:rsidRPr="00F25835">
        <w:t xml:space="preserve">produces sampling distributions that are very, very nearly normal. Even better, the </w:t>
      </w:r>
      <w:r>
        <w:t xml:space="preserve">standard error (the standard deviation of the </w:t>
      </w:r>
      <w:r w:rsidRPr="00F25835">
        <w:t>sampling distribution</w:t>
      </w:r>
      <w:r>
        <w:t>)</w:t>
      </w:r>
      <w:r w:rsidRPr="00F25835">
        <w:t xml:space="preserve"> is very, very nearly:</w:t>
      </w:r>
    </w:p>
    <w:p w14:paraId="0CE46254" w14:textId="4817A2D3" w:rsidR="0091708E" w:rsidRDefault="004C13B0" w:rsidP="00544003">
      <w:pPr>
        <w:ind w:left="540"/>
        <w:jc w:val="center"/>
      </w:pPr>
      <w:r>
        <w:lastRenderedPageBreak/>
        <w:t>se</w:t>
      </w:r>
      <w:r w:rsidRPr="00F25835">
        <w:t>(</w:t>
      </w:r>
      <w:r w:rsidRPr="00544003">
        <w:rPr>
          <w:i/>
        </w:rPr>
        <w:t>z</w:t>
      </w:r>
      <w:r w:rsidRPr="00F25835">
        <w:t>) = 1/sqrt(</w:t>
      </w:r>
      <w:r w:rsidRPr="00544003">
        <w:rPr>
          <w:i/>
        </w:rPr>
        <w:t>n</w:t>
      </w:r>
      <w:r w:rsidR="0001368E">
        <w:t>–</w:t>
      </w:r>
      <w:r w:rsidRPr="00F25835">
        <w:t>3)</w:t>
      </w:r>
    </w:p>
    <w:p w14:paraId="0CE46255" w14:textId="4DCE5B08" w:rsidR="004C13B0" w:rsidRPr="00F25835" w:rsidRDefault="004C13B0" w:rsidP="004C13B0">
      <w:r w:rsidRPr="00F25835">
        <w:t xml:space="preserve">where </w:t>
      </w:r>
      <w:r w:rsidRPr="00544003">
        <w:rPr>
          <w:i/>
        </w:rPr>
        <w:t>n</w:t>
      </w:r>
      <w:r w:rsidRPr="00F25835">
        <w:t>=sample size</w:t>
      </w:r>
    </w:p>
    <w:p w14:paraId="0CE46257" w14:textId="77777777" w:rsidR="004C13B0" w:rsidRPr="00F25835" w:rsidRDefault="004C13B0" w:rsidP="004C13B0">
      <w:r w:rsidRPr="00F25835">
        <w:t xml:space="preserve">So, if we have a </w:t>
      </w:r>
      <w:r>
        <w:t xml:space="preserve">normalized </w:t>
      </w:r>
      <w:r w:rsidRPr="00F25835">
        <w:t>effect size of 0.3 and a sample size of 42, then we can do this:</w:t>
      </w:r>
    </w:p>
    <w:p w14:paraId="0CE46258" w14:textId="77777777" w:rsidR="005E23C7" w:rsidRDefault="004C13B0" w:rsidP="00544003">
      <w:pPr>
        <w:ind w:left="540"/>
        <w:jc w:val="center"/>
      </w:pPr>
      <w:r w:rsidRPr="00544003">
        <w:rPr>
          <w:i/>
        </w:rPr>
        <w:t>z</w:t>
      </w:r>
      <w:r w:rsidRPr="00F25835">
        <w:t xml:space="preserve"> = </w:t>
      </w:r>
      <w:r w:rsidRPr="00544003">
        <w:rPr>
          <w:i/>
        </w:rPr>
        <w:t>a</w:t>
      </w:r>
      <w:r w:rsidRPr="00F25835">
        <w:t>tan</w:t>
      </w:r>
      <w:r w:rsidRPr="00544003">
        <w:rPr>
          <w:i/>
        </w:rPr>
        <w:t>h</w:t>
      </w:r>
      <w:r w:rsidRPr="00F25835">
        <w:t>(0.3) = 0.3095</w:t>
      </w:r>
    </w:p>
    <w:p w14:paraId="0CE46259" w14:textId="77777777" w:rsidR="005E23C7" w:rsidRDefault="004C13B0" w:rsidP="00544003">
      <w:pPr>
        <w:ind w:left="540"/>
        <w:jc w:val="center"/>
      </w:pPr>
      <w:r w:rsidRPr="00F25835">
        <w:t>s</w:t>
      </w:r>
      <w:r>
        <w:t>e</w:t>
      </w:r>
      <w:r w:rsidRPr="00F25835">
        <w:t>(</w:t>
      </w:r>
      <w:r w:rsidRPr="00544003">
        <w:rPr>
          <w:i/>
        </w:rPr>
        <w:t>z</w:t>
      </w:r>
      <w:r w:rsidRPr="00F25835">
        <w:t>) = 1/sqrt(39) = 0.1601</w:t>
      </w:r>
    </w:p>
    <w:p w14:paraId="0CE4625B" w14:textId="38D87334" w:rsidR="004C13B0" w:rsidRPr="00544003" w:rsidRDefault="004C13B0" w:rsidP="004C13B0">
      <w:pPr>
        <w:rPr>
          <w:b/>
        </w:rPr>
      </w:pPr>
      <w:r w:rsidRPr="00544003">
        <w:rPr>
          <w:b/>
        </w:rPr>
        <w:t xml:space="preserve">Step 2: </w:t>
      </w:r>
      <w:r w:rsidR="0001368E">
        <w:rPr>
          <w:b/>
        </w:rPr>
        <w:t>C</w:t>
      </w:r>
      <w:r w:rsidR="0001368E" w:rsidRPr="00544003">
        <w:rPr>
          <w:b/>
        </w:rPr>
        <w:t xml:space="preserve">alculate </w:t>
      </w:r>
      <w:r w:rsidRPr="00544003">
        <w:rPr>
          <w:b/>
        </w:rPr>
        <w:t>confidence limits</w:t>
      </w:r>
    </w:p>
    <w:p w14:paraId="0CE4625D" w14:textId="77777777" w:rsidR="004C13B0" w:rsidRPr="00F25835" w:rsidRDefault="004C13B0" w:rsidP="004C13B0">
      <w:r>
        <w:t xml:space="preserve">So, keeping to </w:t>
      </w:r>
      <w:r w:rsidRPr="00544003">
        <w:rPr>
          <w:i/>
        </w:rPr>
        <w:t>z</w:t>
      </w:r>
      <w:r w:rsidRPr="00F25835">
        <w:t xml:space="preserve"> for a minute, the 95% confidence </w:t>
      </w:r>
      <w:r>
        <w:t xml:space="preserve">limits are given by </w:t>
      </w:r>
      <w:r w:rsidRPr="00544003">
        <w:rPr>
          <w:i/>
        </w:rPr>
        <w:t>z</w:t>
      </w:r>
      <w:r>
        <w:t xml:space="preserve"> plus or minus the se(</w:t>
      </w:r>
      <w:r w:rsidRPr="00544003">
        <w:rPr>
          <w:i/>
        </w:rPr>
        <w:t>z</w:t>
      </w:r>
      <w:r>
        <w:t>) times 1.96</w:t>
      </w:r>
      <w:r w:rsidRPr="00F25835">
        <w:t>:</w:t>
      </w:r>
    </w:p>
    <w:p w14:paraId="0CE4625E" w14:textId="1FFA6BF8" w:rsidR="005E23C7" w:rsidRDefault="004C13B0" w:rsidP="00544003">
      <w:pPr>
        <w:ind w:left="540"/>
        <w:jc w:val="center"/>
      </w:pPr>
      <w:r w:rsidRPr="00F25835">
        <w:t>0.3095</w:t>
      </w:r>
      <w:r w:rsidR="0001368E">
        <w:t>–</w:t>
      </w:r>
      <w:r w:rsidRPr="00F25835">
        <w:t>1.96*0.1601   to   0.3095+1.96*0.1601</w:t>
      </w:r>
    </w:p>
    <w:p w14:paraId="0CE4625F" w14:textId="5EB5C772" w:rsidR="005E23C7" w:rsidRDefault="0001368E" w:rsidP="00544003">
      <w:pPr>
        <w:ind w:left="540"/>
        <w:jc w:val="center"/>
      </w:pPr>
      <w:r>
        <w:t>–</w:t>
      </w:r>
      <w:r w:rsidR="004C13B0" w:rsidRPr="00F25835">
        <w:t>0.0043</w:t>
      </w:r>
      <w:r w:rsidR="004C13B0">
        <w:t xml:space="preserve"> </w:t>
      </w:r>
      <w:r w:rsidR="004C13B0" w:rsidRPr="00F25835">
        <w:t>to 0.623</w:t>
      </w:r>
    </w:p>
    <w:p w14:paraId="0CE46261" w14:textId="73B968AA" w:rsidR="004C13B0" w:rsidRPr="00544003" w:rsidRDefault="004C13B0" w:rsidP="004C13B0">
      <w:pPr>
        <w:rPr>
          <w:b/>
        </w:rPr>
      </w:pPr>
      <w:r w:rsidRPr="00544003">
        <w:rPr>
          <w:b/>
        </w:rPr>
        <w:t xml:space="preserve">Step 3: </w:t>
      </w:r>
      <w:r w:rsidR="0001368E">
        <w:rPr>
          <w:b/>
        </w:rPr>
        <w:t>T</w:t>
      </w:r>
      <w:r w:rsidR="0001368E" w:rsidRPr="00544003">
        <w:rPr>
          <w:b/>
        </w:rPr>
        <w:t xml:space="preserve">ransform </w:t>
      </w:r>
      <w:r w:rsidRPr="00544003">
        <w:rPr>
          <w:b/>
        </w:rPr>
        <w:t xml:space="preserve">back to </w:t>
      </w:r>
      <w:r w:rsidRPr="0001368E">
        <w:rPr>
          <w:b/>
          <w:i/>
        </w:rPr>
        <w:t>r</w:t>
      </w:r>
    </w:p>
    <w:p w14:paraId="0CE46263" w14:textId="77777777" w:rsidR="004C13B0" w:rsidRPr="00F25835" w:rsidRDefault="004C13B0" w:rsidP="004C13B0">
      <w:r w:rsidRPr="00F25835">
        <w:t xml:space="preserve">Finally, we can </w:t>
      </w:r>
      <w:r>
        <w:t>con</w:t>
      </w:r>
      <w:r w:rsidRPr="00F25835">
        <w:t xml:space="preserve">vert from </w:t>
      </w:r>
      <w:r w:rsidRPr="00544003">
        <w:rPr>
          <w:i/>
        </w:rPr>
        <w:t>z</w:t>
      </w:r>
      <w:r w:rsidRPr="00F25835">
        <w:t xml:space="preserve"> back to </w:t>
      </w:r>
      <w:r w:rsidRPr="00544003">
        <w:rPr>
          <w:i/>
        </w:rPr>
        <w:t>r</w:t>
      </w:r>
      <w:r w:rsidRPr="00F25835">
        <w:t>. The inverse transformation for this is:</w:t>
      </w:r>
    </w:p>
    <w:p w14:paraId="0CE46264" w14:textId="77777777" w:rsidR="005E23C7" w:rsidRDefault="004C13B0" w:rsidP="00544003">
      <w:pPr>
        <w:ind w:left="540"/>
        <w:jc w:val="center"/>
      </w:pPr>
      <w:r w:rsidRPr="00544003">
        <w:rPr>
          <w:i/>
        </w:rPr>
        <w:t>r</w:t>
      </w:r>
      <w:r w:rsidRPr="00F25835">
        <w:t xml:space="preserve"> = tan</w:t>
      </w:r>
      <w:r w:rsidRPr="00544003">
        <w:rPr>
          <w:i/>
        </w:rPr>
        <w:t>h</w:t>
      </w:r>
      <w:r w:rsidRPr="00F25835">
        <w:t>(</w:t>
      </w:r>
      <w:r w:rsidRPr="00544003">
        <w:rPr>
          <w:i/>
        </w:rPr>
        <w:t>z</w:t>
      </w:r>
      <w:r w:rsidRPr="00F25835">
        <w:t>)</w:t>
      </w:r>
    </w:p>
    <w:p w14:paraId="0CE46265" w14:textId="77777777" w:rsidR="004C13B0" w:rsidRDefault="004C13B0" w:rsidP="00544003">
      <w:pPr>
        <w:ind w:firstLine="540"/>
      </w:pPr>
      <w:r w:rsidRPr="00F25835">
        <w:t>So, the 95% confidence interval becomes:</w:t>
      </w:r>
    </w:p>
    <w:p w14:paraId="0CE46266" w14:textId="3C236CCD" w:rsidR="005E23C7" w:rsidRDefault="004C13B0" w:rsidP="00544003">
      <w:pPr>
        <w:ind w:left="540"/>
        <w:jc w:val="center"/>
      </w:pPr>
      <w:r>
        <w:t>tan</w:t>
      </w:r>
      <w:r w:rsidRPr="00544003">
        <w:rPr>
          <w:i/>
        </w:rPr>
        <w:t>h</w:t>
      </w:r>
      <w:r w:rsidR="00D95DC0">
        <w:t>(–</w:t>
      </w:r>
      <w:r>
        <w:t>0.0043)</w:t>
      </w:r>
      <w:r w:rsidR="0091708E">
        <w:t xml:space="preserve"> </w:t>
      </w:r>
      <w:r>
        <w:t>to</w:t>
      </w:r>
      <w:r w:rsidR="0091708E">
        <w:t xml:space="preserve"> </w:t>
      </w:r>
      <w:r>
        <w:t>tan</w:t>
      </w:r>
      <w:r w:rsidRPr="00544003">
        <w:rPr>
          <w:i/>
        </w:rPr>
        <w:t>h</w:t>
      </w:r>
      <w:r>
        <w:t>(0.623)</w:t>
      </w:r>
    </w:p>
    <w:p w14:paraId="0CE46268" w14:textId="34CE4AD3" w:rsidR="004553B7" w:rsidRDefault="00D95DC0" w:rsidP="00544003">
      <w:pPr>
        <w:ind w:left="540"/>
        <w:jc w:val="center"/>
      </w:pPr>
      <w:r>
        <w:t>–</w:t>
      </w:r>
      <w:r w:rsidR="004C13B0" w:rsidRPr="00F25835">
        <w:t>0.004 to 0.55</w:t>
      </w:r>
    </w:p>
    <w:p w14:paraId="0CE4626C" w14:textId="41B1667A" w:rsidR="005E23C7" w:rsidRDefault="004C13B0" w:rsidP="00544003">
      <w:pPr>
        <w:ind w:firstLine="540"/>
      </w:pPr>
      <w:r w:rsidRPr="00F25835">
        <w:t xml:space="preserve">You can </w:t>
      </w:r>
      <w:r>
        <w:t xml:space="preserve">now see </w:t>
      </w:r>
      <w:r w:rsidRPr="00F25835">
        <w:t>that the two confidence limits are not at equal distances from the effect size of 0.3.</w:t>
      </w:r>
    </w:p>
    <w:sectPr w:rsidR="005E23C7" w:rsidSect="00544003">
      <w:headerReference w:type="default" r:id="rId51"/>
      <w:pgSz w:w="11900" w:h="16840"/>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4629C" w14:textId="77777777" w:rsidR="00DE78FD" w:rsidRDefault="00DE78FD" w:rsidP="004E4A1C">
      <w:pPr>
        <w:spacing w:before="0" w:after="0" w:line="240" w:lineRule="auto"/>
      </w:pPr>
      <w:r>
        <w:separator/>
      </w:r>
    </w:p>
  </w:endnote>
  <w:endnote w:type="continuationSeparator" w:id="0">
    <w:p w14:paraId="0CE4629D" w14:textId="77777777" w:rsidR="00DE78FD" w:rsidRDefault="00DE78FD" w:rsidP="004E4A1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rutiger LT Std 57 Cn">
    <w:panose1 w:val="00000000000000000000"/>
    <w:charset w:val="00"/>
    <w:family w:val="swiss"/>
    <w:notTrueType/>
    <w:pitch w:val="variable"/>
    <w:sig w:usb0="800000AF" w:usb1="4000204A"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4629A" w14:textId="77777777" w:rsidR="00DE78FD" w:rsidRDefault="00DE78FD" w:rsidP="004E4A1C">
      <w:pPr>
        <w:spacing w:before="0" w:after="0" w:line="240" w:lineRule="auto"/>
      </w:pPr>
      <w:r>
        <w:separator/>
      </w:r>
    </w:p>
  </w:footnote>
  <w:footnote w:type="continuationSeparator" w:id="0">
    <w:p w14:paraId="0CE4629B" w14:textId="77777777" w:rsidR="00DE78FD" w:rsidRDefault="00DE78FD" w:rsidP="004E4A1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4629F" w14:textId="77777777" w:rsidR="004E4A1C" w:rsidRDefault="004E4A1C" w:rsidP="004E4A1C">
    <w:pPr>
      <w:pStyle w:val="Header"/>
      <w:spacing w:before="0" w:after="0" w:line="240" w:lineRule="auto"/>
      <w:contextualSpacing w:val="0"/>
      <w:jc w:val="right"/>
      <w:rPr>
        <w:i/>
      </w:rPr>
    </w:pPr>
    <w:r>
      <w:t xml:space="preserve">Watt and Collins, </w:t>
    </w:r>
    <w:r w:rsidRPr="00F7422E">
      <w:rPr>
        <w:i/>
      </w:rPr>
      <w:t xml:space="preserve">Statistics for Psychology. A </w:t>
    </w:r>
    <w:r>
      <w:rPr>
        <w:i/>
      </w:rPr>
      <w:t>G</w:t>
    </w:r>
    <w:r w:rsidRPr="00F7422E">
      <w:rPr>
        <w:i/>
      </w:rPr>
      <w:t>uide for Beginners</w:t>
    </w:r>
  </w:p>
  <w:p w14:paraId="0CE462A0" w14:textId="77777777" w:rsidR="005E23C7" w:rsidRDefault="004E4A1C" w:rsidP="00544003">
    <w:pPr>
      <w:pStyle w:val="Header"/>
      <w:spacing w:before="0" w:after="0" w:line="240" w:lineRule="auto"/>
      <w:contextualSpacing w:val="0"/>
      <w:jc w:val="right"/>
    </w:pPr>
    <w:r w:rsidRPr="008612DB">
      <w:t>SAGE Publishing,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BC1FB7"/>
    <w:multiLevelType w:val="hybridMultilevel"/>
    <w:tmpl w:val="11DCA686"/>
    <w:lvl w:ilvl="0" w:tplc="414A1836">
      <w:start w:val="1"/>
      <w:numFmt w:val="bullet"/>
      <w:pStyle w:val="BL"/>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004143"/>
    <w:multiLevelType w:val="hybridMultilevel"/>
    <w:tmpl w:val="A1D85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B81F21"/>
    <w:multiLevelType w:val="hybridMultilevel"/>
    <w:tmpl w:val="CDF85156"/>
    <w:lvl w:ilvl="0" w:tplc="E44AA14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FFB21C7"/>
    <w:multiLevelType w:val="hybridMultilevel"/>
    <w:tmpl w:val="27D2F9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100EC7"/>
    <w:multiLevelType w:val="hybridMultilevel"/>
    <w:tmpl w:val="44C80882"/>
    <w:lvl w:ilvl="0" w:tplc="52CCAE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7"/>
  </w:num>
  <w:num w:numId="3">
    <w:abstractNumId w:val="5"/>
  </w:num>
  <w:num w:numId="4">
    <w:abstractNumId w:val="16"/>
  </w:num>
  <w:num w:numId="5">
    <w:abstractNumId w:val="12"/>
  </w:num>
  <w:num w:numId="6">
    <w:abstractNumId w:val="8"/>
  </w:num>
  <w:num w:numId="7">
    <w:abstractNumId w:val="9"/>
  </w:num>
  <w:num w:numId="8">
    <w:abstractNumId w:val="4"/>
  </w:num>
  <w:num w:numId="9">
    <w:abstractNumId w:val="2"/>
  </w:num>
  <w:num w:numId="10">
    <w:abstractNumId w:val="1"/>
  </w:num>
  <w:num w:numId="11">
    <w:abstractNumId w:val="0"/>
  </w:num>
  <w:num w:numId="12">
    <w:abstractNumId w:val="3"/>
  </w:num>
  <w:num w:numId="13">
    <w:abstractNumId w:val="14"/>
  </w:num>
  <w:num w:numId="14">
    <w:abstractNumId w:val="15"/>
  </w:num>
  <w:num w:numId="15">
    <w:abstractNumId w:val="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B3756"/>
    <w:rsid w:val="0001368E"/>
    <w:rsid w:val="000230C4"/>
    <w:rsid w:val="0002738C"/>
    <w:rsid w:val="000E4110"/>
    <w:rsid w:val="001A23D1"/>
    <w:rsid w:val="001C6C78"/>
    <w:rsid w:val="001F6D9F"/>
    <w:rsid w:val="002362A5"/>
    <w:rsid w:val="00266886"/>
    <w:rsid w:val="002A1D08"/>
    <w:rsid w:val="002E3558"/>
    <w:rsid w:val="00304134"/>
    <w:rsid w:val="003466BD"/>
    <w:rsid w:val="003C3406"/>
    <w:rsid w:val="004553B7"/>
    <w:rsid w:val="004605B6"/>
    <w:rsid w:val="00466D87"/>
    <w:rsid w:val="004A05E7"/>
    <w:rsid w:val="004C13B0"/>
    <w:rsid w:val="004E0A82"/>
    <w:rsid w:val="004E4A1C"/>
    <w:rsid w:val="00511E14"/>
    <w:rsid w:val="00544003"/>
    <w:rsid w:val="005A4D04"/>
    <w:rsid w:val="005D21E8"/>
    <w:rsid w:val="005E23C7"/>
    <w:rsid w:val="00673369"/>
    <w:rsid w:val="006E11A6"/>
    <w:rsid w:val="007021EA"/>
    <w:rsid w:val="007928B2"/>
    <w:rsid w:val="007D6FD7"/>
    <w:rsid w:val="007E503B"/>
    <w:rsid w:val="0080701D"/>
    <w:rsid w:val="00824CDE"/>
    <w:rsid w:val="008865CB"/>
    <w:rsid w:val="00916142"/>
    <w:rsid w:val="0091708E"/>
    <w:rsid w:val="009B786A"/>
    <w:rsid w:val="009D4082"/>
    <w:rsid w:val="009E2F43"/>
    <w:rsid w:val="009F1E89"/>
    <w:rsid w:val="00A35771"/>
    <w:rsid w:val="00A55781"/>
    <w:rsid w:val="00A73A57"/>
    <w:rsid w:val="00AB3756"/>
    <w:rsid w:val="00B7487C"/>
    <w:rsid w:val="00B85C52"/>
    <w:rsid w:val="00B8661C"/>
    <w:rsid w:val="00C11875"/>
    <w:rsid w:val="00C41A78"/>
    <w:rsid w:val="00C62F49"/>
    <w:rsid w:val="00C85E74"/>
    <w:rsid w:val="00CF1919"/>
    <w:rsid w:val="00D13764"/>
    <w:rsid w:val="00D25567"/>
    <w:rsid w:val="00D40DEC"/>
    <w:rsid w:val="00D95DC0"/>
    <w:rsid w:val="00DB0ADA"/>
    <w:rsid w:val="00DB694B"/>
    <w:rsid w:val="00DE78FD"/>
    <w:rsid w:val="00E02F93"/>
    <w:rsid w:val="00F039BE"/>
    <w:rsid w:val="00F4427A"/>
    <w:rsid w:val="00FA3678"/>
    <w:rsid w:val="00FF6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0CE461A5"/>
  <w15:docId w15:val="{BFD91464-44BD-446D-807C-AF4A3397C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87C"/>
    <w:pPr>
      <w:spacing w:before="120" w:after="120" w:line="360" w:lineRule="auto"/>
      <w:contextualSpacing/>
    </w:pPr>
    <w:rPr>
      <w:rFonts w:ascii="Times New Roman" w:eastAsia="Times New Roman" w:hAnsi="Times New Roman" w:cs="Times New Roman"/>
      <w:lang w:val="en-US"/>
    </w:rPr>
  </w:style>
  <w:style w:type="paragraph" w:styleId="Heading1">
    <w:name w:val="heading 1"/>
    <w:basedOn w:val="Normal"/>
    <w:next w:val="Normal"/>
    <w:link w:val="Heading1Char"/>
    <w:qFormat/>
    <w:rsid w:val="00B7487C"/>
    <w:pPr>
      <w:keepNext/>
      <w:keepLines/>
      <w:spacing w:before="240"/>
      <w:outlineLvl w:val="0"/>
    </w:pPr>
    <w:rPr>
      <w:rFonts w:eastAsiaTheme="majorEastAsia" w:cstheme="majorBidi"/>
      <w:b/>
      <w:bCs/>
      <w:color w:val="2F5496" w:themeColor="accent1" w:themeShade="BF"/>
      <w:sz w:val="28"/>
      <w:szCs w:val="28"/>
    </w:rPr>
  </w:style>
  <w:style w:type="paragraph" w:styleId="Heading2">
    <w:name w:val="heading 2"/>
    <w:basedOn w:val="Normal"/>
    <w:next w:val="Normal"/>
    <w:link w:val="Heading2Char"/>
    <w:autoRedefine/>
    <w:unhideWhenUsed/>
    <w:qFormat/>
    <w:rsid w:val="00B7487C"/>
    <w:pPr>
      <w:keepNext/>
      <w:keepLines/>
      <w:spacing w:before="240" w:after="0"/>
      <w:outlineLvl w:val="1"/>
    </w:pPr>
    <w:rPr>
      <w:rFonts w:ascii="Times New Roman Bold" w:hAnsi="Times New Roman Bold"/>
      <w:b/>
      <w:bCs/>
      <w:color w:val="4472C4" w:themeColor="accent1"/>
      <w:sz w:val="26"/>
      <w:szCs w:val="26"/>
    </w:rPr>
  </w:style>
  <w:style w:type="paragraph" w:styleId="Heading3">
    <w:name w:val="heading 3"/>
    <w:basedOn w:val="Normal"/>
    <w:next w:val="Normal"/>
    <w:link w:val="Heading3Char"/>
    <w:autoRedefine/>
    <w:uiPriority w:val="9"/>
    <w:unhideWhenUsed/>
    <w:qFormat/>
    <w:rsid w:val="00B7487C"/>
    <w:pPr>
      <w:keepNext/>
      <w:keepLines/>
      <w:spacing w:before="240"/>
      <w:outlineLvl w:val="2"/>
    </w:pPr>
    <w:rPr>
      <w:b/>
      <w:color w:val="1F4E7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487C"/>
    <w:rPr>
      <w:rFonts w:ascii="Times New Roman" w:eastAsiaTheme="majorEastAsia" w:hAnsi="Times New Roman" w:cstheme="majorBidi"/>
      <w:b/>
      <w:bCs/>
      <w:color w:val="2F5496" w:themeColor="accent1" w:themeShade="BF"/>
      <w:sz w:val="28"/>
      <w:szCs w:val="28"/>
      <w:lang w:val="en-US"/>
    </w:rPr>
  </w:style>
  <w:style w:type="character" w:customStyle="1" w:styleId="Heading2Char">
    <w:name w:val="Heading 2 Char"/>
    <w:link w:val="Heading2"/>
    <w:rsid w:val="00B7487C"/>
    <w:rPr>
      <w:rFonts w:ascii="Times New Roman Bold" w:eastAsia="Times New Roman" w:hAnsi="Times New Roman Bold" w:cs="Times New Roman"/>
      <w:b/>
      <w:bCs/>
      <w:color w:val="4472C4" w:themeColor="accent1"/>
      <w:sz w:val="26"/>
      <w:szCs w:val="26"/>
      <w:lang w:val="en-US"/>
    </w:rPr>
  </w:style>
  <w:style w:type="character" w:styleId="Hyperlink">
    <w:name w:val="Hyperlink"/>
    <w:uiPriority w:val="99"/>
    <w:unhideWhenUsed/>
    <w:rsid w:val="00B7487C"/>
    <w:rPr>
      <w:color w:val="0000FF"/>
      <w:u w:val="single"/>
    </w:rPr>
  </w:style>
  <w:style w:type="character" w:customStyle="1" w:styleId="UnresolvedMention">
    <w:name w:val="Unresolved Mention"/>
    <w:basedOn w:val="DefaultParagraphFont"/>
    <w:uiPriority w:val="99"/>
    <w:semiHidden/>
    <w:unhideWhenUsed/>
    <w:rsid w:val="00AB3756"/>
    <w:rPr>
      <w:color w:val="605E5C"/>
      <w:shd w:val="clear" w:color="auto" w:fill="E1DFDD"/>
    </w:rPr>
  </w:style>
  <w:style w:type="table" w:styleId="TableGrid">
    <w:name w:val="Table Grid"/>
    <w:basedOn w:val="TableNormal"/>
    <w:uiPriority w:val="59"/>
    <w:rsid w:val="00B7487C"/>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autoRedefine/>
    <w:uiPriority w:val="34"/>
    <w:qFormat/>
    <w:rsid w:val="00B7487C"/>
    <w:pPr>
      <w:spacing w:before="0" w:after="0"/>
      <w:ind w:left="720" w:hanging="360"/>
      <w:jc w:val="both"/>
    </w:pPr>
    <w:rPr>
      <w:rFonts w:eastAsia="Calibri"/>
    </w:rPr>
  </w:style>
  <w:style w:type="character" w:styleId="PlaceholderText">
    <w:name w:val="Placeholder Text"/>
    <w:basedOn w:val="DefaultParagraphFont"/>
    <w:uiPriority w:val="99"/>
    <w:semiHidden/>
    <w:rsid w:val="00F039BE"/>
    <w:rPr>
      <w:color w:val="808080"/>
    </w:rPr>
  </w:style>
  <w:style w:type="paragraph" w:styleId="BalloonText">
    <w:name w:val="Balloon Text"/>
    <w:basedOn w:val="Normal"/>
    <w:link w:val="BalloonTextChar"/>
    <w:rsid w:val="00B7487C"/>
    <w:rPr>
      <w:rFonts w:ascii="Tahoma" w:hAnsi="Tahoma" w:cs="Tahoma"/>
      <w:sz w:val="16"/>
      <w:szCs w:val="16"/>
    </w:rPr>
  </w:style>
  <w:style w:type="character" w:customStyle="1" w:styleId="BalloonTextChar">
    <w:name w:val="Balloon Text Char"/>
    <w:basedOn w:val="DefaultParagraphFont"/>
    <w:link w:val="BalloonText"/>
    <w:rsid w:val="00B7487C"/>
    <w:rPr>
      <w:rFonts w:ascii="Tahoma" w:eastAsia="Times New Roman" w:hAnsi="Tahoma" w:cs="Tahoma"/>
      <w:sz w:val="16"/>
      <w:szCs w:val="16"/>
      <w:lang w:val="en-US"/>
    </w:rPr>
  </w:style>
  <w:style w:type="character" w:customStyle="1" w:styleId="Heading3Char">
    <w:name w:val="Heading 3 Char"/>
    <w:link w:val="Heading3"/>
    <w:uiPriority w:val="9"/>
    <w:rsid w:val="00B7487C"/>
    <w:rPr>
      <w:rFonts w:ascii="Times New Roman" w:eastAsia="Times New Roman" w:hAnsi="Times New Roman" w:cs="Times New Roman"/>
      <w:b/>
      <w:color w:val="1F4E79"/>
      <w:szCs w:val="20"/>
      <w:lang w:val="en-US"/>
    </w:rPr>
  </w:style>
  <w:style w:type="paragraph" w:styleId="Header">
    <w:name w:val="header"/>
    <w:basedOn w:val="Normal"/>
    <w:link w:val="HeaderChar"/>
    <w:rsid w:val="00B7487C"/>
    <w:pPr>
      <w:tabs>
        <w:tab w:val="center" w:pos="4320"/>
        <w:tab w:val="right" w:pos="8640"/>
      </w:tabs>
    </w:pPr>
  </w:style>
  <w:style w:type="character" w:customStyle="1" w:styleId="HeaderChar">
    <w:name w:val="Header Char"/>
    <w:basedOn w:val="DefaultParagraphFont"/>
    <w:link w:val="Header"/>
    <w:rsid w:val="004E4A1C"/>
    <w:rPr>
      <w:rFonts w:ascii="Times New Roman" w:eastAsia="Times New Roman" w:hAnsi="Times New Roman" w:cs="Times New Roman"/>
      <w:lang w:val="en-US"/>
    </w:rPr>
  </w:style>
  <w:style w:type="character" w:styleId="PageNumber">
    <w:name w:val="page number"/>
    <w:basedOn w:val="DefaultParagraphFont"/>
    <w:rsid w:val="00B7487C"/>
  </w:style>
  <w:style w:type="character" w:customStyle="1" w:styleId="apple-converted-space">
    <w:name w:val="apple-converted-space"/>
    <w:basedOn w:val="DefaultParagraphFont"/>
    <w:rsid w:val="00B7487C"/>
  </w:style>
  <w:style w:type="paragraph" w:customStyle="1" w:styleId="NumberedList">
    <w:name w:val="Numbered List"/>
    <w:basedOn w:val="Normal"/>
    <w:uiPriority w:val="99"/>
    <w:qFormat/>
    <w:rsid w:val="00B7487C"/>
    <w:pPr>
      <w:numPr>
        <w:numId w:val="13"/>
      </w:numPr>
    </w:pPr>
    <w:rPr>
      <w:rFonts w:eastAsia="Calibri"/>
      <w:szCs w:val="22"/>
    </w:rPr>
  </w:style>
  <w:style w:type="paragraph" w:customStyle="1" w:styleId="ReferenceText">
    <w:name w:val="Reference Text"/>
    <w:basedOn w:val="Normal"/>
    <w:uiPriority w:val="99"/>
    <w:qFormat/>
    <w:rsid w:val="00B7487C"/>
    <w:pPr>
      <w:ind w:left="720" w:hanging="720"/>
    </w:pPr>
    <w:rPr>
      <w:rFonts w:eastAsiaTheme="minorHAnsi" w:cstheme="minorBidi"/>
      <w:szCs w:val="22"/>
    </w:rPr>
  </w:style>
  <w:style w:type="paragraph" w:styleId="Footer">
    <w:name w:val="footer"/>
    <w:basedOn w:val="Normal"/>
    <w:link w:val="FooterChar"/>
    <w:rsid w:val="00B7487C"/>
    <w:pPr>
      <w:tabs>
        <w:tab w:val="center" w:pos="4680"/>
        <w:tab w:val="right" w:pos="9360"/>
      </w:tabs>
    </w:pPr>
  </w:style>
  <w:style w:type="character" w:customStyle="1" w:styleId="FooterChar">
    <w:name w:val="Footer Char"/>
    <w:basedOn w:val="DefaultParagraphFont"/>
    <w:link w:val="Footer"/>
    <w:rsid w:val="00B7487C"/>
    <w:rPr>
      <w:rFonts w:ascii="Times New Roman" w:eastAsia="Times New Roman" w:hAnsi="Times New Roman" w:cs="Times New Roman"/>
      <w:lang w:val="en-US"/>
    </w:rPr>
  </w:style>
  <w:style w:type="paragraph" w:styleId="Title">
    <w:name w:val="Title"/>
    <w:basedOn w:val="Normal"/>
    <w:next w:val="Normal"/>
    <w:link w:val="TitleChar"/>
    <w:qFormat/>
    <w:rsid w:val="00B7487C"/>
    <w:pPr>
      <w:pBdr>
        <w:bottom w:val="single" w:sz="8" w:space="4" w:color="4472C4" w:themeColor="accent1"/>
      </w:pBdr>
      <w:spacing w:after="300"/>
    </w:pPr>
    <w:rPr>
      <w:rFonts w:eastAsiaTheme="majorEastAsia" w:cstheme="majorBidi"/>
      <w:color w:val="1F3864" w:themeColor="accent1" w:themeShade="80"/>
      <w:spacing w:val="5"/>
      <w:kern w:val="28"/>
      <w:sz w:val="52"/>
      <w:szCs w:val="52"/>
    </w:rPr>
  </w:style>
  <w:style w:type="character" w:customStyle="1" w:styleId="TitleChar">
    <w:name w:val="Title Char"/>
    <w:basedOn w:val="DefaultParagraphFont"/>
    <w:link w:val="Title"/>
    <w:rsid w:val="00B7487C"/>
    <w:rPr>
      <w:rFonts w:ascii="Times New Roman" w:eastAsiaTheme="majorEastAsia" w:hAnsi="Times New Roman" w:cstheme="majorBidi"/>
      <w:color w:val="1F3864" w:themeColor="accent1" w:themeShade="80"/>
      <w:spacing w:val="5"/>
      <w:kern w:val="28"/>
      <w:sz w:val="52"/>
      <w:szCs w:val="52"/>
      <w:lang w:val="en-US"/>
    </w:rPr>
  </w:style>
  <w:style w:type="paragraph" w:customStyle="1" w:styleId="BulletedList">
    <w:name w:val="Bulleted List"/>
    <w:basedOn w:val="Normal"/>
    <w:qFormat/>
    <w:rsid w:val="00B7487C"/>
    <w:pPr>
      <w:numPr>
        <w:numId w:val="14"/>
      </w:numPr>
    </w:pPr>
  </w:style>
  <w:style w:type="paragraph" w:customStyle="1" w:styleId="BL">
    <w:name w:val="BL"/>
    <w:basedOn w:val="Normal"/>
    <w:autoRedefine/>
    <w:uiPriority w:val="99"/>
    <w:rsid w:val="00B7487C"/>
    <w:pPr>
      <w:widowControl w:val="0"/>
      <w:numPr>
        <w:numId w:val="15"/>
      </w:numPr>
      <w:tabs>
        <w:tab w:val="left" w:pos="280"/>
      </w:tabs>
      <w:autoSpaceDE w:val="0"/>
      <w:autoSpaceDN w:val="0"/>
      <w:adjustRightInd w:val="0"/>
      <w:spacing w:before="0"/>
      <w:contextualSpacing w:val="0"/>
      <w:jc w:val="both"/>
      <w:textAlignment w:val="center"/>
    </w:pPr>
    <w:rPr>
      <w:rFonts w:eastAsia="Calibri" w:cs="Frutiger LT Std 57 Cn"/>
      <w:color w:val="000000"/>
      <w:szCs w:val="18"/>
      <w:lang w:val="en-GB" w:eastAsia="en-GB"/>
    </w:rPr>
  </w:style>
  <w:style w:type="paragraph" w:customStyle="1" w:styleId="NL">
    <w:name w:val="NL"/>
    <w:basedOn w:val="Normal"/>
    <w:qFormat/>
    <w:rsid w:val="00B7487C"/>
    <w:pPr>
      <w:ind w:left="720" w:hanging="360"/>
    </w:pPr>
    <w:rPr>
      <w:color w:val="000000"/>
    </w:rPr>
  </w:style>
  <w:style w:type="paragraph" w:customStyle="1" w:styleId="Default">
    <w:name w:val="Default"/>
    <w:rsid w:val="004E4A1C"/>
    <w:pPr>
      <w:autoSpaceDE w:val="0"/>
      <w:autoSpaceDN w:val="0"/>
      <w:adjustRightInd w:val="0"/>
    </w:pPr>
    <w:rPr>
      <w:rFonts w:ascii="Times New Roman" w:hAnsi="Times New Roman" w:cs="Times New Roman"/>
      <w:color w:val="000000"/>
      <w:lang w:val="en-US"/>
    </w:rPr>
  </w:style>
  <w:style w:type="character" w:customStyle="1" w:styleId="MTConvertedEquation">
    <w:name w:val="MTConvertedEquation"/>
    <w:basedOn w:val="DefaultParagraphFont"/>
    <w:rsid w:val="004E4A1C"/>
    <w:rPr>
      <w:rFonts w:ascii="Cambria Math" w:hAnsi="Cambria Math"/>
      <w:i/>
    </w:rPr>
  </w:style>
  <w:style w:type="paragraph" w:customStyle="1" w:styleId="MTDisplayEquation">
    <w:name w:val="MTDisplayEquation"/>
    <w:basedOn w:val="Normal"/>
    <w:next w:val="Normal"/>
    <w:link w:val="MTDisplayEquationChar"/>
    <w:rsid w:val="004E4A1C"/>
    <w:pPr>
      <w:tabs>
        <w:tab w:val="center" w:pos="4880"/>
        <w:tab w:val="right" w:pos="9020"/>
      </w:tabs>
      <w:ind w:left="720"/>
    </w:pPr>
  </w:style>
  <w:style w:type="character" w:customStyle="1" w:styleId="MTDisplayEquationChar">
    <w:name w:val="MTDisplayEquation Char"/>
    <w:basedOn w:val="DefaultParagraphFont"/>
    <w:link w:val="MTDisplayEquation"/>
    <w:rsid w:val="004E4A1C"/>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oleObject" Target="embeddings/oleObject1.bin"/><Relationship Id="rId39" Type="http://schemas.openxmlformats.org/officeDocument/2006/relationships/image" Target="media/image24.wmf"/><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oleObject" Target="embeddings/oleObject5.bin"/><Relationship Id="rId42" Type="http://schemas.openxmlformats.org/officeDocument/2006/relationships/oleObject" Target="embeddings/oleObject9.bin"/><Relationship Id="rId47" Type="http://schemas.openxmlformats.org/officeDocument/2006/relationships/image" Target="media/image28.wmf"/><Relationship Id="rId50" Type="http://schemas.openxmlformats.org/officeDocument/2006/relationships/oleObject" Target="embeddings/oleObject13.bin"/><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wmf"/><Relationship Id="rId33" Type="http://schemas.openxmlformats.org/officeDocument/2006/relationships/image" Target="media/image21.wmf"/><Relationship Id="rId38" Type="http://schemas.openxmlformats.org/officeDocument/2006/relationships/oleObject" Target="embeddings/oleObject7.bin"/><Relationship Id="rId46" Type="http://schemas.openxmlformats.org/officeDocument/2006/relationships/oleObject" Target="embeddings/oleObject11.bin"/><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19.wmf"/><Relationship Id="rId41" Type="http://schemas.openxmlformats.org/officeDocument/2006/relationships/image" Target="media/image2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oleObject" Target="embeddings/oleObject4.bin"/><Relationship Id="rId37" Type="http://schemas.openxmlformats.org/officeDocument/2006/relationships/image" Target="media/image23.wmf"/><Relationship Id="rId40" Type="http://schemas.openxmlformats.org/officeDocument/2006/relationships/oleObject" Target="embeddings/oleObject8.bin"/><Relationship Id="rId45" Type="http://schemas.openxmlformats.org/officeDocument/2006/relationships/image" Target="media/image27.wmf"/><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oleObject" Target="embeddings/oleObject2.bin"/><Relationship Id="rId36" Type="http://schemas.openxmlformats.org/officeDocument/2006/relationships/oleObject" Target="embeddings/oleObject6.bin"/><Relationship Id="rId49" Type="http://schemas.openxmlformats.org/officeDocument/2006/relationships/image" Target="media/image29.w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0.wmf"/><Relationship Id="rId44" Type="http://schemas.openxmlformats.org/officeDocument/2006/relationships/oleObject" Target="embeddings/oleObject10.bin"/><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8.wmf"/><Relationship Id="rId30" Type="http://schemas.openxmlformats.org/officeDocument/2006/relationships/oleObject" Target="embeddings/oleObject3.bin"/><Relationship Id="rId35" Type="http://schemas.openxmlformats.org/officeDocument/2006/relationships/image" Target="media/image22.wmf"/><Relationship Id="rId43" Type="http://schemas.openxmlformats.org/officeDocument/2006/relationships/image" Target="media/image26.wmf"/><Relationship Id="rId48" Type="http://schemas.openxmlformats.org/officeDocument/2006/relationships/oleObject" Target="embeddings/oleObject12.bin"/><Relationship Id="rId8" Type="http://schemas.openxmlformats.org/officeDocument/2006/relationships/hyperlink" Target="http://www.brawstats.com" TargetMode="External"/><Relationship Id="rId51"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k042\AppData\Roaming\Microsoft\Templates\Colle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1FB844-8D73-49C2-9205-D22AFF2D5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College Word template.dotx</Template>
  <TotalTime>29</TotalTime>
  <Pages>7</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Collins</dc:creator>
  <cp:keywords/>
  <dc:description/>
  <cp:lastModifiedBy>Imogen Roome</cp:lastModifiedBy>
  <cp:revision>9</cp:revision>
  <dcterms:created xsi:type="dcterms:W3CDTF">2018-10-08T10:09:00Z</dcterms:created>
  <dcterms:modified xsi:type="dcterms:W3CDTF">2019-05-10T15:25:00Z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