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98CC" w14:textId="77777777" w:rsidR="00711CE9" w:rsidRDefault="00711CE9" w:rsidP="00983B0F">
      <w:pPr>
        <w:pStyle w:val="Title"/>
      </w:pPr>
      <w:r>
        <w:t>Online Resource</w:t>
      </w:r>
    </w:p>
    <w:p w14:paraId="34DF98CD" w14:textId="067D187B" w:rsidR="00A019B7" w:rsidRDefault="00A019B7">
      <w:pPr>
        <w:pStyle w:val="Heading1"/>
      </w:pPr>
      <w:r>
        <w:t>Chapter 9</w:t>
      </w:r>
      <w:r w:rsidR="00711CE9">
        <w:t xml:space="preserve">: Measurements and </w:t>
      </w:r>
      <w:r w:rsidR="00412453">
        <w:t>u</w:t>
      </w:r>
      <w:r w:rsidR="00711CE9">
        <w:t>ncertainty</w:t>
      </w:r>
    </w:p>
    <w:p w14:paraId="34DF98CF" w14:textId="03236A69" w:rsidR="00A019B7" w:rsidRPr="00AE2FE1" w:rsidRDefault="00587AB1" w:rsidP="00A019B7">
      <w:pPr>
        <w:pStyle w:val="Heading2"/>
      </w:pPr>
      <w:r>
        <w:t xml:space="preserve">Logarithmic </w:t>
      </w:r>
      <w:r w:rsidR="00711CE9">
        <w:t>scales</w:t>
      </w:r>
    </w:p>
    <w:p w14:paraId="34DF98D1" w14:textId="77777777" w:rsidR="00A019B7" w:rsidRDefault="00A019B7" w:rsidP="00A019B7">
      <w:r>
        <w:t>Mathematics has an important tool, a function called the logarithm (usually shortened to log), that we can use occasionally to good use. The log function takes a number and a constant called the base and produces a new number. In mathematical terms, the log of a number is the new number to which the base must be raised to equal the old number. When the base is 10 we have two equations that say the same thing:</w:t>
      </w:r>
    </w:p>
    <w:p w14:paraId="34DF98D2" w14:textId="77777777" w:rsidR="00A019B7" w:rsidRDefault="00711CE9" w:rsidP="00983B0F">
      <w:pPr>
        <w:pStyle w:val="MTDisplayEquation"/>
        <w:jc w:val="center"/>
      </w:pPr>
      <w:r w:rsidRPr="00711CE9">
        <w:rPr>
          <w:position w:val="-14"/>
        </w:rPr>
        <w:object w:dxaOrig="1680" w:dyaOrig="400" w14:anchorId="34DF9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20.4pt" o:ole="">
            <v:imagedata r:id="rId8" o:title=""/>
          </v:shape>
          <o:OLEObject Type="Embed" ProgID="Equation.DSMT4" ShapeID="_x0000_i1025" DrawAspect="Content" ObjectID="_1619010793" r:id="rId9"/>
        </w:object>
      </w:r>
      <w:bookmarkStart w:id="0" w:name="_GoBack"/>
      <w:bookmarkEnd w:id="0"/>
    </w:p>
    <w:bookmarkStart w:id="1" w:name="MTBlankEqn"/>
    <w:p w14:paraId="34DF98D3" w14:textId="77777777" w:rsidR="00A019B7" w:rsidRDefault="00711CE9" w:rsidP="00983B0F">
      <w:pPr>
        <w:pStyle w:val="MTDisplayEquation"/>
        <w:jc w:val="center"/>
      </w:pPr>
      <w:r w:rsidRPr="00711CE9">
        <w:rPr>
          <w:position w:val="-12"/>
        </w:rPr>
        <w:object w:dxaOrig="1120" w:dyaOrig="380" w14:anchorId="34DF991E">
          <v:shape id="_x0000_i1026" type="#_x0000_t75" style="width:56.4pt;height:19pt" o:ole="">
            <v:imagedata r:id="rId10" o:title=""/>
          </v:shape>
          <o:OLEObject Type="Embed" ProgID="Equation.DSMT4" ShapeID="_x0000_i1026" DrawAspect="Content" ObjectID="_1619010794" r:id="rId11"/>
        </w:object>
      </w:r>
      <w:bookmarkEnd w:id="1"/>
    </w:p>
    <w:p w14:paraId="34DF98D5" w14:textId="77777777" w:rsidR="00A019B7" w:rsidRDefault="00A019B7" w:rsidP="00983B0F">
      <w:pPr>
        <w:ind w:firstLine="540"/>
      </w:pPr>
      <w:r>
        <w:t>None of that really matters for our purposes. There is one property of this log function, however that is helpful: it compresses the differences between large numbers compared to small numbers. Look at this table which shows some numbers and their logarithms (to the base 10):</w:t>
      </w:r>
    </w:p>
    <w:tbl>
      <w:tblPr>
        <w:tblStyle w:val="TableGrid"/>
        <w:tblW w:w="0" w:type="auto"/>
        <w:jc w:val="center"/>
        <w:tblLook w:val="04A0" w:firstRow="1" w:lastRow="0" w:firstColumn="1" w:lastColumn="0" w:noHBand="0" w:noVBand="1"/>
      </w:tblPr>
      <w:tblGrid>
        <w:gridCol w:w="1129"/>
        <w:gridCol w:w="1134"/>
      </w:tblGrid>
      <w:tr w:rsidR="00A019B7" w:rsidRPr="00A03996" w14:paraId="34DF98D8" w14:textId="77777777" w:rsidTr="00135516">
        <w:trPr>
          <w:jc w:val="center"/>
        </w:trPr>
        <w:tc>
          <w:tcPr>
            <w:tcW w:w="1129" w:type="dxa"/>
          </w:tcPr>
          <w:p w14:paraId="34DF98D6" w14:textId="77777777" w:rsidR="00A019B7" w:rsidRPr="00A03996" w:rsidRDefault="00A019B7" w:rsidP="00135516">
            <w:pPr>
              <w:rPr>
                <w:b/>
              </w:rPr>
            </w:pPr>
            <w:r w:rsidRPr="00A03996">
              <w:rPr>
                <w:b/>
              </w:rPr>
              <w:t>x</w:t>
            </w:r>
          </w:p>
        </w:tc>
        <w:tc>
          <w:tcPr>
            <w:tcW w:w="1134" w:type="dxa"/>
          </w:tcPr>
          <w:p w14:paraId="34DF98D7" w14:textId="77777777" w:rsidR="00A019B7" w:rsidRPr="00A03996" w:rsidRDefault="00A019B7" w:rsidP="00135516">
            <w:pPr>
              <w:rPr>
                <w:b/>
              </w:rPr>
            </w:pPr>
            <w:r w:rsidRPr="00A03996">
              <w:rPr>
                <w:b/>
              </w:rPr>
              <w:t>log(x)</w:t>
            </w:r>
          </w:p>
        </w:tc>
      </w:tr>
      <w:tr w:rsidR="00A019B7" w14:paraId="34DF98DB" w14:textId="77777777" w:rsidTr="00135516">
        <w:trPr>
          <w:jc w:val="center"/>
        </w:trPr>
        <w:tc>
          <w:tcPr>
            <w:tcW w:w="1129" w:type="dxa"/>
          </w:tcPr>
          <w:p w14:paraId="34DF98D9" w14:textId="77777777" w:rsidR="00A019B7" w:rsidRDefault="00A019B7" w:rsidP="00135516">
            <w:r>
              <w:t>1</w:t>
            </w:r>
          </w:p>
        </w:tc>
        <w:tc>
          <w:tcPr>
            <w:tcW w:w="1134" w:type="dxa"/>
          </w:tcPr>
          <w:p w14:paraId="34DF98DA" w14:textId="77777777" w:rsidR="00A019B7" w:rsidRDefault="00A019B7" w:rsidP="00135516">
            <w:r>
              <w:t>0</w:t>
            </w:r>
          </w:p>
        </w:tc>
      </w:tr>
      <w:tr w:rsidR="00A019B7" w14:paraId="34DF98DE" w14:textId="77777777" w:rsidTr="00135516">
        <w:trPr>
          <w:jc w:val="center"/>
        </w:trPr>
        <w:tc>
          <w:tcPr>
            <w:tcW w:w="1129" w:type="dxa"/>
          </w:tcPr>
          <w:p w14:paraId="34DF98DC" w14:textId="77777777" w:rsidR="00A019B7" w:rsidRDefault="00A019B7" w:rsidP="00135516">
            <w:r>
              <w:t>10</w:t>
            </w:r>
          </w:p>
        </w:tc>
        <w:tc>
          <w:tcPr>
            <w:tcW w:w="1134" w:type="dxa"/>
          </w:tcPr>
          <w:p w14:paraId="34DF98DD" w14:textId="77777777" w:rsidR="00A019B7" w:rsidRDefault="00A019B7" w:rsidP="00135516">
            <w:r>
              <w:t>1</w:t>
            </w:r>
          </w:p>
        </w:tc>
      </w:tr>
      <w:tr w:rsidR="00A019B7" w14:paraId="34DF98E1" w14:textId="77777777" w:rsidTr="00135516">
        <w:trPr>
          <w:jc w:val="center"/>
        </w:trPr>
        <w:tc>
          <w:tcPr>
            <w:tcW w:w="1129" w:type="dxa"/>
          </w:tcPr>
          <w:p w14:paraId="34DF98DF" w14:textId="77777777" w:rsidR="00A019B7" w:rsidRDefault="00A019B7" w:rsidP="00135516">
            <w:r>
              <w:t>100</w:t>
            </w:r>
          </w:p>
        </w:tc>
        <w:tc>
          <w:tcPr>
            <w:tcW w:w="1134" w:type="dxa"/>
          </w:tcPr>
          <w:p w14:paraId="34DF98E0" w14:textId="77777777" w:rsidR="00A019B7" w:rsidRDefault="00A019B7" w:rsidP="00135516">
            <w:r>
              <w:t>2</w:t>
            </w:r>
          </w:p>
        </w:tc>
      </w:tr>
      <w:tr w:rsidR="00A019B7" w14:paraId="34DF98E4" w14:textId="77777777" w:rsidTr="00135516">
        <w:trPr>
          <w:jc w:val="center"/>
        </w:trPr>
        <w:tc>
          <w:tcPr>
            <w:tcW w:w="1129" w:type="dxa"/>
          </w:tcPr>
          <w:p w14:paraId="34DF98E2" w14:textId="77777777" w:rsidR="00A019B7" w:rsidRDefault="00A019B7" w:rsidP="00135516">
            <w:r>
              <w:t>1000</w:t>
            </w:r>
          </w:p>
        </w:tc>
        <w:tc>
          <w:tcPr>
            <w:tcW w:w="1134" w:type="dxa"/>
          </w:tcPr>
          <w:p w14:paraId="34DF98E3" w14:textId="77777777" w:rsidR="00A019B7" w:rsidRDefault="00A019B7" w:rsidP="00135516">
            <w:r>
              <w:t>3</w:t>
            </w:r>
          </w:p>
        </w:tc>
      </w:tr>
    </w:tbl>
    <w:p w14:paraId="34DF98E7" w14:textId="2741A3DE" w:rsidR="00B973CA" w:rsidRDefault="00A019B7" w:rsidP="00711CE9">
      <w:pPr>
        <w:ind w:firstLine="540"/>
      </w:pPr>
      <w:r>
        <w:t>This table shows us that equal sixed steps in log(x) correspond to increasingly large unequal steps in x itself. The range of log(x) between 0 and 1 covers 1 to 10 in x itself; the range 1 to 2 in log(x) covers 10 to 100 in x and so on.</w:t>
      </w:r>
    </w:p>
    <w:p w14:paraId="34DF98E9" w14:textId="77777777" w:rsidR="00A019B7" w:rsidRDefault="00A019B7" w:rsidP="00983B0F">
      <w:pPr>
        <w:ind w:firstLine="540"/>
      </w:pPr>
      <w:r>
        <w:t xml:space="preserve">If we have a scale, like the scale for p-values, where most of the interesting things happen at very small numbers, but we also need to be able to see quite large numbers, then using a log scale is helpful. In the example table above, if we have a graph with a log scale covering the range of log(x) between 0 and 3, then the first quarter of the range is given to x </w:t>
      </w:r>
      <w:r>
        <w:lastRenderedPageBreak/>
        <w:t>values between 1 and 10 and the last quarter of the range is given to x values between 100 and 1000.</w:t>
      </w:r>
    </w:p>
    <w:p w14:paraId="34DF98EC" w14:textId="4B8DB0A7" w:rsidR="00A019B7" w:rsidRDefault="00587AB1" w:rsidP="00A019B7">
      <w:pPr>
        <w:pStyle w:val="Heading2"/>
      </w:pPr>
      <w:r>
        <w:t xml:space="preserve">Transformations for </w:t>
      </w:r>
      <w:r w:rsidR="00711CE9">
        <w:t>skew</w:t>
      </w:r>
    </w:p>
    <w:p w14:paraId="34DF98EE" w14:textId="77777777" w:rsidR="00A019B7" w:rsidRDefault="00A019B7" w:rsidP="00A019B7">
      <w:r>
        <w:t>If the distribution of values for a variable is skewed and it is desirable, for some reason, to remove the skew, then there is a family of transformations that can be applied to the data. The general plan is this:</w:t>
      </w:r>
    </w:p>
    <w:p w14:paraId="34DF98EF" w14:textId="5E9D6714" w:rsidR="00A019B7" w:rsidRDefault="00711CE9" w:rsidP="00983B0F">
      <w:pPr>
        <w:ind w:left="720" w:hanging="360"/>
      </w:pPr>
      <w:r>
        <w:rPr>
          <w:rFonts w:eastAsia="Calibri"/>
        </w:rPr>
        <w:t>1.</w:t>
      </w:r>
      <w:r>
        <w:rPr>
          <w:rFonts w:eastAsia="Calibri"/>
        </w:rPr>
        <w:tab/>
      </w:r>
      <w:r w:rsidR="000439CA">
        <w:t xml:space="preserve">Distribution </w:t>
      </w:r>
      <w:r w:rsidR="00A019B7">
        <w:t>of x is skewed</w:t>
      </w:r>
    </w:p>
    <w:p w14:paraId="34DF98F0" w14:textId="23A09ADA" w:rsidR="00A019B7" w:rsidRDefault="00711CE9" w:rsidP="00983B0F">
      <w:pPr>
        <w:ind w:left="720" w:hanging="360"/>
      </w:pPr>
      <w:r>
        <w:rPr>
          <w:rFonts w:eastAsia="Calibri"/>
        </w:rPr>
        <w:t>2.</w:t>
      </w:r>
      <w:r>
        <w:rPr>
          <w:rFonts w:eastAsia="Calibri"/>
        </w:rPr>
        <w:tab/>
      </w:r>
      <w:r w:rsidR="000439CA">
        <w:t xml:space="preserve">Apply </w:t>
      </w:r>
      <w:r w:rsidR="00A019B7">
        <w:t>a transformation x</w:t>
      </w:r>
      <w:r w:rsidR="00A019B7" w:rsidRPr="00983B0F">
        <w:rPr>
          <w:vertAlign w:val="subscript"/>
        </w:rPr>
        <w:t>new</w:t>
      </w:r>
      <w:r w:rsidR="00A019B7">
        <w:t>=transform(x)</w:t>
      </w:r>
    </w:p>
    <w:p w14:paraId="34DF98F1" w14:textId="28777B9D" w:rsidR="00A019B7" w:rsidRDefault="00711CE9" w:rsidP="00983B0F">
      <w:pPr>
        <w:ind w:left="720" w:hanging="360"/>
      </w:pPr>
      <w:r>
        <w:rPr>
          <w:rFonts w:eastAsia="Calibri"/>
        </w:rPr>
        <w:t>3.</w:t>
      </w:r>
      <w:r>
        <w:rPr>
          <w:rFonts w:eastAsia="Calibri"/>
        </w:rPr>
        <w:tab/>
      </w:r>
      <w:r w:rsidR="000439CA">
        <w:t xml:space="preserve">So </w:t>
      </w:r>
      <w:r w:rsidR="00A019B7">
        <w:t>that the distribution of x</w:t>
      </w:r>
      <w:r w:rsidR="00A019B7" w:rsidRPr="00983B0F">
        <w:rPr>
          <w:vertAlign w:val="subscript"/>
        </w:rPr>
        <w:t>new</w:t>
      </w:r>
      <w:r w:rsidR="00A019B7">
        <w:t xml:space="preserve"> is not skewed</w:t>
      </w:r>
    </w:p>
    <w:p w14:paraId="34DF98F4" w14:textId="5BC444ED" w:rsidR="00B973CA" w:rsidRDefault="00A019B7" w:rsidP="00711CE9">
      <w:pPr>
        <w:ind w:firstLine="540"/>
      </w:pPr>
      <w:r>
        <w:t>The transform to use depends on the degree and direction of the skew. The choice of transform is a little bit like trial and error: it is a case of just finding the transform of choice from a wide library of possible transforms.</w:t>
      </w:r>
    </w:p>
    <w:p w14:paraId="34DF98F6" w14:textId="77777777" w:rsidR="00A019B7" w:rsidRDefault="00A019B7" w:rsidP="00983B0F">
      <w:pPr>
        <w:ind w:firstLine="540"/>
      </w:pPr>
      <w:r>
        <w:t>We have already seen how the log transformation compresses the high end of a scale. That means that the log transformation will also draw inwards the righthand tail of a distribution and so it could be a useful remedy for positive skew.</w:t>
      </w:r>
    </w:p>
    <w:p w14:paraId="34DF98F9" w14:textId="2CA454DE" w:rsidR="00B973CA" w:rsidRDefault="00A019B7" w:rsidP="00711CE9">
      <w:pPr>
        <w:ind w:firstLine="540"/>
      </w:pPr>
      <w:r>
        <w:t>There is a more general family of transformations that can be used with some success. The basic principle is that</w:t>
      </w:r>
    </w:p>
    <w:p w14:paraId="34DF98FA" w14:textId="5D3EF403" w:rsidR="00A019B7" w:rsidRDefault="00711CE9" w:rsidP="00983B0F">
      <w:pPr>
        <w:ind w:left="720" w:hanging="360"/>
      </w:pPr>
      <w:r>
        <w:rPr>
          <w:rFonts w:eastAsia="Calibri"/>
        </w:rPr>
        <w:t>1.</w:t>
      </w:r>
      <w:r>
        <w:rPr>
          <w:rFonts w:eastAsia="Calibri"/>
        </w:rPr>
        <w:tab/>
      </w:r>
      <w:r w:rsidR="000439CA">
        <w:t xml:space="preserve">Positive </w:t>
      </w:r>
      <w:r w:rsidR="00A019B7">
        <w:t>skew: compress the high values of a distribution and expand out the low values</w:t>
      </w:r>
    </w:p>
    <w:p w14:paraId="34DF98FB" w14:textId="2911BBC4" w:rsidR="00A019B7" w:rsidRDefault="00711CE9" w:rsidP="00983B0F">
      <w:pPr>
        <w:ind w:left="720" w:hanging="360"/>
      </w:pPr>
      <w:r>
        <w:rPr>
          <w:rFonts w:eastAsia="Calibri"/>
        </w:rPr>
        <w:t>2.</w:t>
      </w:r>
      <w:r>
        <w:rPr>
          <w:rFonts w:eastAsia="Calibri"/>
        </w:rPr>
        <w:tab/>
      </w:r>
      <w:r w:rsidR="000439CA">
        <w:t xml:space="preserve">Negative </w:t>
      </w:r>
      <w:r w:rsidR="00A019B7">
        <w:t>skew: expand the high values outwards and compress the low values</w:t>
      </w:r>
    </w:p>
    <w:p w14:paraId="34DF98FC" w14:textId="77777777" w:rsidR="00A019B7" w:rsidRDefault="00A019B7" w:rsidP="00983B0F">
      <w:pPr>
        <w:ind w:firstLine="540"/>
      </w:pPr>
      <w:r>
        <w:t>Now look at the table which shows two transformations of a number. Both of these involve familiar maths.</w:t>
      </w:r>
    </w:p>
    <w:tbl>
      <w:tblPr>
        <w:tblStyle w:val="TableGrid"/>
        <w:tblW w:w="0" w:type="auto"/>
        <w:jc w:val="center"/>
        <w:tblLook w:val="04A0" w:firstRow="1" w:lastRow="0" w:firstColumn="1" w:lastColumn="0" w:noHBand="0" w:noVBand="1"/>
      </w:tblPr>
      <w:tblGrid>
        <w:gridCol w:w="988"/>
        <w:gridCol w:w="1417"/>
        <w:gridCol w:w="1134"/>
      </w:tblGrid>
      <w:tr w:rsidR="00A019B7" w:rsidRPr="00031147" w14:paraId="34DF9901" w14:textId="77777777" w:rsidTr="00135516">
        <w:trPr>
          <w:jc w:val="center"/>
        </w:trPr>
        <w:tc>
          <w:tcPr>
            <w:tcW w:w="988" w:type="dxa"/>
          </w:tcPr>
          <w:p w14:paraId="34DF98FE" w14:textId="77777777" w:rsidR="00A019B7" w:rsidRPr="00031147" w:rsidRDefault="00A019B7" w:rsidP="00135516">
            <w:pPr>
              <w:rPr>
                <w:b/>
              </w:rPr>
            </w:pPr>
            <w:r w:rsidRPr="00031147">
              <w:rPr>
                <w:b/>
              </w:rPr>
              <w:t>x</w:t>
            </w:r>
          </w:p>
        </w:tc>
        <w:tc>
          <w:tcPr>
            <w:tcW w:w="1417" w:type="dxa"/>
          </w:tcPr>
          <w:p w14:paraId="34DF98FF" w14:textId="77777777" w:rsidR="00A019B7" w:rsidRPr="00031147" w:rsidRDefault="00A019B7" w:rsidP="00135516">
            <w:pPr>
              <w:rPr>
                <w:b/>
              </w:rPr>
            </w:pPr>
            <w:r w:rsidRPr="00031147">
              <w:rPr>
                <w:b/>
              </w:rPr>
              <w:t>sqrt(x)</w:t>
            </w:r>
            <w:r>
              <w:rPr>
                <w:b/>
              </w:rPr>
              <w:t xml:space="preserve"> = x</w:t>
            </w:r>
            <w:r w:rsidRPr="00031147">
              <w:rPr>
                <w:b/>
                <w:vertAlign w:val="superscript"/>
              </w:rPr>
              <w:t>½</w:t>
            </w:r>
            <w:r>
              <w:rPr>
                <w:b/>
              </w:rPr>
              <w:t xml:space="preserve"> </w:t>
            </w:r>
          </w:p>
        </w:tc>
        <w:tc>
          <w:tcPr>
            <w:tcW w:w="1134" w:type="dxa"/>
          </w:tcPr>
          <w:p w14:paraId="34DF9900" w14:textId="77777777" w:rsidR="00A019B7" w:rsidRPr="00031147" w:rsidRDefault="00A019B7" w:rsidP="00135516">
            <w:pPr>
              <w:rPr>
                <w:b/>
              </w:rPr>
            </w:pPr>
            <w:r w:rsidRPr="00031147">
              <w:rPr>
                <w:b/>
              </w:rPr>
              <w:t>x</w:t>
            </w:r>
            <w:r w:rsidRPr="00031147">
              <w:rPr>
                <w:b/>
                <w:vertAlign w:val="superscript"/>
              </w:rPr>
              <w:t>2</w:t>
            </w:r>
          </w:p>
        </w:tc>
      </w:tr>
      <w:tr w:rsidR="00A019B7" w14:paraId="34DF9905" w14:textId="77777777" w:rsidTr="00135516">
        <w:trPr>
          <w:jc w:val="center"/>
        </w:trPr>
        <w:tc>
          <w:tcPr>
            <w:tcW w:w="988" w:type="dxa"/>
          </w:tcPr>
          <w:p w14:paraId="34DF9902" w14:textId="77777777" w:rsidR="00A019B7" w:rsidRDefault="00A019B7" w:rsidP="00135516">
            <w:r>
              <w:t>1</w:t>
            </w:r>
          </w:p>
        </w:tc>
        <w:tc>
          <w:tcPr>
            <w:tcW w:w="1417" w:type="dxa"/>
          </w:tcPr>
          <w:p w14:paraId="34DF9903" w14:textId="77777777" w:rsidR="00A019B7" w:rsidRDefault="00A019B7" w:rsidP="00135516">
            <w:r>
              <w:t>1</w:t>
            </w:r>
          </w:p>
        </w:tc>
        <w:tc>
          <w:tcPr>
            <w:tcW w:w="1134" w:type="dxa"/>
          </w:tcPr>
          <w:p w14:paraId="34DF9904" w14:textId="77777777" w:rsidR="00A019B7" w:rsidRDefault="00A019B7" w:rsidP="00135516">
            <w:r>
              <w:t>1</w:t>
            </w:r>
          </w:p>
        </w:tc>
      </w:tr>
      <w:tr w:rsidR="00A019B7" w14:paraId="34DF9909" w14:textId="77777777" w:rsidTr="00135516">
        <w:trPr>
          <w:jc w:val="center"/>
        </w:trPr>
        <w:tc>
          <w:tcPr>
            <w:tcW w:w="988" w:type="dxa"/>
          </w:tcPr>
          <w:p w14:paraId="34DF9906" w14:textId="77777777" w:rsidR="00A019B7" w:rsidRDefault="00A019B7" w:rsidP="00135516">
            <w:r>
              <w:t>2</w:t>
            </w:r>
          </w:p>
        </w:tc>
        <w:tc>
          <w:tcPr>
            <w:tcW w:w="1417" w:type="dxa"/>
          </w:tcPr>
          <w:p w14:paraId="34DF9907" w14:textId="77777777" w:rsidR="00A019B7" w:rsidRDefault="00A019B7" w:rsidP="00135516">
            <w:r>
              <w:t>1.414</w:t>
            </w:r>
          </w:p>
        </w:tc>
        <w:tc>
          <w:tcPr>
            <w:tcW w:w="1134" w:type="dxa"/>
          </w:tcPr>
          <w:p w14:paraId="34DF9908" w14:textId="77777777" w:rsidR="00A019B7" w:rsidRDefault="00A019B7" w:rsidP="00135516">
            <w:r>
              <w:t>4</w:t>
            </w:r>
          </w:p>
        </w:tc>
      </w:tr>
      <w:tr w:rsidR="00A019B7" w14:paraId="34DF990D" w14:textId="77777777" w:rsidTr="00135516">
        <w:trPr>
          <w:jc w:val="center"/>
        </w:trPr>
        <w:tc>
          <w:tcPr>
            <w:tcW w:w="988" w:type="dxa"/>
          </w:tcPr>
          <w:p w14:paraId="34DF990A" w14:textId="77777777" w:rsidR="00A019B7" w:rsidRDefault="00A019B7" w:rsidP="00135516">
            <w:r>
              <w:t>3</w:t>
            </w:r>
          </w:p>
        </w:tc>
        <w:tc>
          <w:tcPr>
            <w:tcW w:w="1417" w:type="dxa"/>
          </w:tcPr>
          <w:p w14:paraId="34DF990B" w14:textId="77777777" w:rsidR="00A019B7" w:rsidRDefault="00A019B7" w:rsidP="00135516">
            <w:r>
              <w:t>1.732</w:t>
            </w:r>
          </w:p>
        </w:tc>
        <w:tc>
          <w:tcPr>
            <w:tcW w:w="1134" w:type="dxa"/>
          </w:tcPr>
          <w:p w14:paraId="34DF990C" w14:textId="77777777" w:rsidR="00A019B7" w:rsidRDefault="00A019B7" w:rsidP="00135516">
            <w:r>
              <w:t>9</w:t>
            </w:r>
          </w:p>
        </w:tc>
      </w:tr>
      <w:tr w:rsidR="00A019B7" w14:paraId="34DF9911" w14:textId="77777777" w:rsidTr="00135516">
        <w:trPr>
          <w:jc w:val="center"/>
        </w:trPr>
        <w:tc>
          <w:tcPr>
            <w:tcW w:w="988" w:type="dxa"/>
          </w:tcPr>
          <w:p w14:paraId="34DF990E" w14:textId="77777777" w:rsidR="00A019B7" w:rsidRDefault="00A019B7" w:rsidP="00135516">
            <w:r>
              <w:t>4</w:t>
            </w:r>
          </w:p>
        </w:tc>
        <w:tc>
          <w:tcPr>
            <w:tcW w:w="1417" w:type="dxa"/>
          </w:tcPr>
          <w:p w14:paraId="34DF990F" w14:textId="77777777" w:rsidR="00A019B7" w:rsidRDefault="00A019B7" w:rsidP="00135516">
            <w:r>
              <w:t>2</w:t>
            </w:r>
          </w:p>
        </w:tc>
        <w:tc>
          <w:tcPr>
            <w:tcW w:w="1134" w:type="dxa"/>
          </w:tcPr>
          <w:p w14:paraId="34DF9910" w14:textId="77777777" w:rsidR="00A019B7" w:rsidRDefault="00A019B7" w:rsidP="00135516">
            <w:r>
              <w:t>16</w:t>
            </w:r>
          </w:p>
        </w:tc>
      </w:tr>
    </w:tbl>
    <w:p w14:paraId="34DF9914" w14:textId="0B8F02B2" w:rsidR="00B973CA" w:rsidRDefault="00A019B7" w:rsidP="00711CE9">
      <w:pPr>
        <w:ind w:firstLine="540"/>
      </w:pPr>
      <w:r>
        <w:t>We can see that the sqrt(x) produces successively smaller steps (0.414, 0.318, 0.268) as we go down the table. The square of x produces successively larger steps as we go down the table (3, 5, 7). So the first is compressing the high values and the second is expanding the high values.</w:t>
      </w:r>
    </w:p>
    <w:p w14:paraId="34DF9916" w14:textId="77777777" w:rsidR="00A019B7" w:rsidRDefault="00A019B7" w:rsidP="00711CE9">
      <w:pPr>
        <w:ind w:firstLine="540"/>
      </w:pPr>
      <w:r>
        <w:lastRenderedPageBreak/>
        <w:t>Mathematicians call the square of x “x to the power of 2” and by a nice feature of maths, the square root is “x to the power of ½”. So we can think of a family of transformations:</w:t>
      </w:r>
    </w:p>
    <w:p w14:paraId="34DF9917" w14:textId="77777777" w:rsidR="00A019B7" w:rsidRPr="00F259FE" w:rsidRDefault="00711CE9" w:rsidP="00983B0F">
      <w:pPr>
        <w:pStyle w:val="MTDisplayEquation"/>
        <w:jc w:val="center"/>
        <w:rPr>
          <w:rFonts w:eastAsiaTheme="minorEastAsia"/>
        </w:rPr>
      </w:pPr>
      <w:r w:rsidRPr="00711CE9">
        <w:rPr>
          <w:position w:val="-12"/>
        </w:rPr>
        <w:object w:dxaOrig="880" w:dyaOrig="380" w14:anchorId="34DF991F">
          <v:shape id="_x0000_i1027" type="#_x0000_t75" style="width:44.15pt;height:19pt" o:ole="">
            <v:imagedata r:id="rId12" o:title=""/>
          </v:shape>
          <o:OLEObject Type="Embed" ProgID="Equation.DSMT4" ShapeID="_x0000_i1027" DrawAspect="Content" ObjectID="_1619010795" r:id="rId13"/>
        </w:object>
      </w:r>
    </w:p>
    <w:p w14:paraId="34DF9918" w14:textId="77777777" w:rsidR="00A019B7" w:rsidRPr="00F259FE" w:rsidRDefault="00711CE9" w:rsidP="00983B0F">
      <w:pPr>
        <w:pStyle w:val="MTDisplayEquation"/>
        <w:jc w:val="center"/>
        <w:rPr>
          <w:rFonts w:eastAsiaTheme="minorEastAsia"/>
        </w:rPr>
      </w:pPr>
      <w:r w:rsidRPr="00711CE9">
        <w:rPr>
          <w:position w:val="-12"/>
        </w:rPr>
        <w:object w:dxaOrig="980" w:dyaOrig="380" w14:anchorId="34DF9920">
          <v:shape id="_x0000_i1028" type="#_x0000_t75" style="width:49.6pt;height:19pt" o:ole="">
            <v:imagedata r:id="rId14" o:title=""/>
          </v:shape>
          <o:OLEObject Type="Embed" ProgID="Equation.DSMT4" ShapeID="_x0000_i1028" DrawAspect="Content" ObjectID="_1619010796" r:id="rId15"/>
        </w:object>
      </w:r>
    </w:p>
    <w:p w14:paraId="34DF991C" w14:textId="588CC509" w:rsidR="00E55A88" w:rsidRDefault="00A019B7" w:rsidP="00983B0F">
      <w:pPr>
        <w:ind w:firstLine="540"/>
      </w:pPr>
      <w:r>
        <w:t xml:space="preserve">where </w:t>
      </w:r>
      <w:r w:rsidR="006F09E2">
        <w:rPr>
          <w:i/>
        </w:rPr>
        <w:t>b</w:t>
      </w:r>
      <w:r w:rsidR="006F09E2">
        <w:t xml:space="preserve"> </w:t>
      </w:r>
      <w:r>
        <w:t xml:space="preserve">is a positive number greater than 1. The first transformation is used to reduce negative skew and the larger the value of </w:t>
      </w:r>
      <w:r w:rsidR="006F09E2">
        <w:rPr>
          <w:i/>
        </w:rPr>
        <w:t>b</w:t>
      </w:r>
      <w:r w:rsidR="006F09E2">
        <w:t xml:space="preserve"> </w:t>
      </w:r>
      <w:r>
        <w:t>the larger the effect. The second transformation can be used to deal with positive skew in the same way. This family of transforms is called the Box and Cox transformation.</w:t>
      </w:r>
    </w:p>
    <w:sectPr w:rsidR="00E55A88" w:rsidSect="00983B0F">
      <w:headerReference w:type="default" r:id="rId16"/>
      <w:pgSz w:w="11900" w:h="16840"/>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F9923" w14:textId="77777777" w:rsidR="00D33074" w:rsidRDefault="00D33074" w:rsidP="00711CE9">
      <w:pPr>
        <w:spacing w:before="0" w:after="0" w:line="240" w:lineRule="auto"/>
      </w:pPr>
      <w:r>
        <w:separator/>
      </w:r>
    </w:p>
  </w:endnote>
  <w:endnote w:type="continuationSeparator" w:id="0">
    <w:p w14:paraId="34DF9924" w14:textId="77777777" w:rsidR="00D33074" w:rsidRDefault="00D33074" w:rsidP="00711C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 LT Std 57 Cn">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9921" w14:textId="77777777" w:rsidR="00D33074" w:rsidRDefault="00D33074" w:rsidP="00711CE9">
      <w:pPr>
        <w:spacing w:before="0" w:after="0" w:line="240" w:lineRule="auto"/>
      </w:pPr>
      <w:r>
        <w:separator/>
      </w:r>
    </w:p>
  </w:footnote>
  <w:footnote w:type="continuationSeparator" w:id="0">
    <w:p w14:paraId="34DF9922" w14:textId="77777777" w:rsidR="00D33074" w:rsidRDefault="00D33074" w:rsidP="00711C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9926" w14:textId="77777777" w:rsidR="00711CE9" w:rsidRDefault="00711CE9" w:rsidP="00711CE9">
    <w:pPr>
      <w:pStyle w:val="Header"/>
      <w:spacing w:before="0" w:after="0" w:line="240" w:lineRule="auto"/>
      <w:jc w:val="right"/>
      <w:rPr>
        <w:i/>
      </w:rPr>
    </w:pPr>
    <w:r>
      <w:t xml:space="preserve">Watt and Collins, </w:t>
    </w:r>
    <w:r>
      <w:rPr>
        <w:i/>
      </w:rPr>
      <w:t>Statistics for Psychology. A Guide for Beginners</w:t>
    </w:r>
  </w:p>
  <w:p w14:paraId="34DF9927" w14:textId="77777777" w:rsidR="00711CE9" w:rsidRDefault="00711CE9" w:rsidP="00983B0F">
    <w:pPr>
      <w:pStyle w:val="Header"/>
      <w:spacing w:before="0" w:after="0" w:line="240" w:lineRule="auto"/>
      <w:jc w:val="right"/>
    </w:pPr>
    <w: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C1FB7"/>
    <w:multiLevelType w:val="hybridMultilevel"/>
    <w:tmpl w:val="11DCA686"/>
    <w:lvl w:ilvl="0" w:tplc="414A1836">
      <w:start w:val="1"/>
      <w:numFmt w:val="bullet"/>
      <w:pStyle w:val="BL"/>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32477"/>
    <w:multiLevelType w:val="hybridMultilevel"/>
    <w:tmpl w:val="5ED44E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81F21"/>
    <w:multiLevelType w:val="hybridMultilevel"/>
    <w:tmpl w:val="CDF85156"/>
    <w:lvl w:ilvl="0" w:tplc="E44AA1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20D15"/>
    <w:multiLevelType w:val="hybridMultilevel"/>
    <w:tmpl w:val="1C4AA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00EC7"/>
    <w:multiLevelType w:val="hybridMultilevel"/>
    <w:tmpl w:val="44C80882"/>
    <w:lvl w:ilvl="0" w:tplc="52CC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5"/>
  </w:num>
  <w:num w:numId="4">
    <w:abstractNumId w:val="16"/>
  </w:num>
  <w:num w:numId="5">
    <w:abstractNumId w:val="11"/>
  </w:num>
  <w:num w:numId="6">
    <w:abstractNumId w:val="7"/>
  </w:num>
  <w:num w:numId="7">
    <w:abstractNumId w:val="9"/>
  </w:num>
  <w:num w:numId="8">
    <w:abstractNumId w:val="4"/>
  </w:num>
  <w:num w:numId="9">
    <w:abstractNumId w:val="2"/>
  </w:num>
  <w:num w:numId="10">
    <w:abstractNumId w:val="1"/>
  </w:num>
  <w:num w:numId="11">
    <w:abstractNumId w:val="0"/>
  </w:num>
  <w:num w:numId="12">
    <w:abstractNumId w:val="3"/>
  </w:num>
  <w:num w:numId="13">
    <w:abstractNumId w:val="14"/>
  </w:num>
  <w:num w:numId="14">
    <w:abstractNumId w:val="15"/>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19B7"/>
    <w:rsid w:val="000439CA"/>
    <w:rsid w:val="00182BD4"/>
    <w:rsid w:val="00322CE7"/>
    <w:rsid w:val="003D60AC"/>
    <w:rsid w:val="00412453"/>
    <w:rsid w:val="00587AB1"/>
    <w:rsid w:val="005A4D04"/>
    <w:rsid w:val="00622BAC"/>
    <w:rsid w:val="00673369"/>
    <w:rsid w:val="006F09E2"/>
    <w:rsid w:val="00711CE9"/>
    <w:rsid w:val="008A476C"/>
    <w:rsid w:val="00983B0F"/>
    <w:rsid w:val="00A019B7"/>
    <w:rsid w:val="00B973CA"/>
    <w:rsid w:val="00CC13F9"/>
    <w:rsid w:val="00D3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DF98CC"/>
  <w15:docId w15:val="{84A68680-235B-4F76-AD64-811A9378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6C"/>
    <w:pPr>
      <w:spacing w:before="120" w:after="120" w:line="360" w:lineRule="auto"/>
      <w:contextualSpacing/>
    </w:pPr>
    <w:rPr>
      <w:rFonts w:ascii="Times New Roman" w:eastAsia="Times New Roman" w:hAnsi="Times New Roman" w:cs="Times New Roman"/>
      <w:lang w:val="en-US"/>
    </w:rPr>
  </w:style>
  <w:style w:type="paragraph" w:styleId="Heading1">
    <w:name w:val="heading 1"/>
    <w:basedOn w:val="Normal"/>
    <w:next w:val="Normal"/>
    <w:link w:val="Heading1Char"/>
    <w:qFormat/>
    <w:rsid w:val="008A476C"/>
    <w:pPr>
      <w:keepNext/>
      <w:keepLines/>
      <w:spacing w:before="24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autoRedefine/>
    <w:unhideWhenUsed/>
    <w:qFormat/>
    <w:rsid w:val="008A476C"/>
    <w:pPr>
      <w:keepNext/>
      <w:keepLines/>
      <w:spacing w:before="240" w:after="0"/>
      <w:outlineLvl w:val="1"/>
    </w:pPr>
    <w:rPr>
      <w:rFonts w:ascii="Times New Roman Bold" w:hAnsi="Times New Roman Bold"/>
      <w:b/>
      <w:bCs/>
      <w:color w:val="4472C4" w:themeColor="accent1"/>
      <w:sz w:val="26"/>
      <w:szCs w:val="26"/>
    </w:rPr>
  </w:style>
  <w:style w:type="paragraph" w:styleId="Heading3">
    <w:name w:val="heading 3"/>
    <w:basedOn w:val="Normal"/>
    <w:next w:val="Normal"/>
    <w:link w:val="Heading3Char"/>
    <w:autoRedefine/>
    <w:uiPriority w:val="9"/>
    <w:unhideWhenUsed/>
    <w:qFormat/>
    <w:rsid w:val="008A476C"/>
    <w:pPr>
      <w:keepNext/>
      <w:keepLines/>
      <w:spacing w:before="240"/>
      <w:outlineLvl w:val="2"/>
    </w:pPr>
    <w:rPr>
      <w:b/>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76C"/>
    <w:rPr>
      <w:rFonts w:ascii="Times New Roman" w:eastAsiaTheme="majorEastAsia" w:hAnsi="Times New Roman" w:cstheme="majorBidi"/>
      <w:b/>
      <w:bCs/>
      <w:color w:val="2F5496" w:themeColor="accent1" w:themeShade="BF"/>
      <w:sz w:val="28"/>
      <w:szCs w:val="28"/>
      <w:lang w:val="en-US"/>
    </w:rPr>
  </w:style>
  <w:style w:type="character" w:customStyle="1" w:styleId="Heading2Char">
    <w:name w:val="Heading 2 Char"/>
    <w:link w:val="Heading2"/>
    <w:rsid w:val="008A476C"/>
    <w:rPr>
      <w:rFonts w:ascii="Times New Roman Bold" w:eastAsia="Times New Roman" w:hAnsi="Times New Roman Bold" w:cs="Times New Roman"/>
      <w:b/>
      <w:bCs/>
      <w:color w:val="4472C4" w:themeColor="accent1"/>
      <w:sz w:val="26"/>
      <w:szCs w:val="26"/>
      <w:lang w:val="en-US"/>
    </w:rPr>
  </w:style>
  <w:style w:type="table" w:styleId="TableGrid">
    <w:name w:val="Table Grid"/>
    <w:basedOn w:val="TableNormal"/>
    <w:uiPriority w:val="59"/>
    <w:rsid w:val="008A476C"/>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8A476C"/>
    <w:pPr>
      <w:spacing w:before="0" w:after="0"/>
      <w:ind w:left="720" w:hanging="360"/>
      <w:jc w:val="both"/>
    </w:pPr>
    <w:rPr>
      <w:rFonts w:eastAsia="Calibri"/>
    </w:rPr>
  </w:style>
  <w:style w:type="character" w:styleId="CommentReference">
    <w:name w:val="annotation reference"/>
    <w:basedOn w:val="DefaultParagraphFont"/>
    <w:uiPriority w:val="99"/>
    <w:semiHidden/>
    <w:unhideWhenUsed/>
    <w:rsid w:val="006F09E2"/>
    <w:rPr>
      <w:sz w:val="16"/>
      <w:szCs w:val="16"/>
    </w:rPr>
  </w:style>
  <w:style w:type="paragraph" w:styleId="CommentText">
    <w:name w:val="annotation text"/>
    <w:basedOn w:val="Normal"/>
    <w:link w:val="CommentTextChar"/>
    <w:uiPriority w:val="99"/>
    <w:semiHidden/>
    <w:unhideWhenUsed/>
    <w:rsid w:val="006F09E2"/>
    <w:rPr>
      <w:sz w:val="20"/>
      <w:szCs w:val="20"/>
    </w:rPr>
  </w:style>
  <w:style w:type="character" w:customStyle="1" w:styleId="CommentTextChar">
    <w:name w:val="Comment Text Char"/>
    <w:basedOn w:val="DefaultParagraphFont"/>
    <w:link w:val="CommentText"/>
    <w:uiPriority w:val="99"/>
    <w:semiHidden/>
    <w:rsid w:val="006F09E2"/>
    <w:rPr>
      <w:sz w:val="20"/>
      <w:szCs w:val="20"/>
    </w:rPr>
  </w:style>
  <w:style w:type="paragraph" w:styleId="CommentSubject">
    <w:name w:val="annotation subject"/>
    <w:basedOn w:val="CommentText"/>
    <w:next w:val="CommentText"/>
    <w:link w:val="CommentSubjectChar"/>
    <w:uiPriority w:val="99"/>
    <w:semiHidden/>
    <w:unhideWhenUsed/>
    <w:rsid w:val="006F09E2"/>
    <w:rPr>
      <w:b/>
      <w:bCs/>
    </w:rPr>
  </w:style>
  <w:style w:type="character" w:customStyle="1" w:styleId="CommentSubjectChar">
    <w:name w:val="Comment Subject Char"/>
    <w:basedOn w:val="CommentTextChar"/>
    <w:link w:val="CommentSubject"/>
    <w:uiPriority w:val="99"/>
    <w:semiHidden/>
    <w:rsid w:val="006F09E2"/>
    <w:rPr>
      <w:b/>
      <w:bCs/>
      <w:sz w:val="20"/>
      <w:szCs w:val="20"/>
    </w:rPr>
  </w:style>
  <w:style w:type="paragraph" w:styleId="BalloonText">
    <w:name w:val="Balloon Text"/>
    <w:basedOn w:val="Normal"/>
    <w:link w:val="BalloonTextChar"/>
    <w:rsid w:val="008A476C"/>
    <w:rPr>
      <w:rFonts w:ascii="Tahoma" w:hAnsi="Tahoma" w:cs="Tahoma"/>
      <w:sz w:val="16"/>
      <w:szCs w:val="16"/>
    </w:rPr>
  </w:style>
  <w:style w:type="character" w:customStyle="1" w:styleId="BalloonTextChar">
    <w:name w:val="Balloon Text Char"/>
    <w:basedOn w:val="DefaultParagraphFont"/>
    <w:link w:val="BalloonText"/>
    <w:rsid w:val="008A476C"/>
    <w:rPr>
      <w:rFonts w:ascii="Tahoma" w:eastAsia="Times New Roman" w:hAnsi="Tahoma" w:cs="Tahoma"/>
      <w:sz w:val="16"/>
      <w:szCs w:val="16"/>
      <w:lang w:val="en-US"/>
    </w:rPr>
  </w:style>
  <w:style w:type="paragraph" w:styleId="Header">
    <w:name w:val="header"/>
    <w:basedOn w:val="Normal"/>
    <w:link w:val="HeaderChar"/>
    <w:rsid w:val="008A476C"/>
    <w:pPr>
      <w:tabs>
        <w:tab w:val="center" w:pos="4320"/>
        <w:tab w:val="right" w:pos="8640"/>
      </w:tabs>
    </w:pPr>
  </w:style>
  <w:style w:type="character" w:customStyle="1" w:styleId="HeaderChar">
    <w:name w:val="Header Char"/>
    <w:basedOn w:val="DefaultParagraphFont"/>
    <w:link w:val="Header"/>
    <w:rsid w:val="00711CE9"/>
    <w:rPr>
      <w:rFonts w:ascii="Times New Roman" w:eastAsia="Times New Roman" w:hAnsi="Times New Roman" w:cs="Times New Roman"/>
      <w:lang w:val="en-US"/>
    </w:rPr>
  </w:style>
  <w:style w:type="paragraph" w:styleId="Footer">
    <w:name w:val="footer"/>
    <w:basedOn w:val="Normal"/>
    <w:link w:val="FooterChar"/>
    <w:rsid w:val="008A476C"/>
    <w:pPr>
      <w:tabs>
        <w:tab w:val="center" w:pos="4680"/>
        <w:tab w:val="right" w:pos="9360"/>
      </w:tabs>
    </w:pPr>
  </w:style>
  <w:style w:type="character" w:customStyle="1" w:styleId="FooterChar">
    <w:name w:val="Footer Char"/>
    <w:basedOn w:val="DefaultParagraphFont"/>
    <w:link w:val="Footer"/>
    <w:rsid w:val="008A476C"/>
    <w:rPr>
      <w:rFonts w:ascii="Times New Roman" w:eastAsia="Times New Roman" w:hAnsi="Times New Roman" w:cs="Times New Roman"/>
      <w:lang w:val="en-US"/>
    </w:rPr>
  </w:style>
  <w:style w:type="character" w:customStyle="1" w:styleId="Heading3Char">
    <w:name w:val="Heading 3 Char"/>
    <w:link w:val="Heading3"/>
    <w:uiPriority w:val="9"/>
    <w:rsid w:val="008A476C"/>
    <w:rPr>
      <w:rFonts w:ascii="Times New Roman" w:eastAsia="Times New Roman" w:hAnsi="Times New Roman" w:cs="Times New Roman"/>
      <w:b/>
      <w:color w:val="1F4E79"/>
      <w:szCs w:val="20"/>
      <w:lang w:val="en-US"/>
    </w:rPr>
  </w:style>
  <w:style w:type="character" w:styleId="PageNumber">
    <w:name w:val="page number"/>
    <w:basedOn w:val="DefaultParagraphFont"/>
    <w:rsid w:val="008A476C"/>
  </w:style>
  <w:style w:type="character" w:styleId="Hyperlink">
    <w:name w:val="Hyperlink"/>
    <w:uiPriority w:val="99"/>
    <w:unhideWhenUsed/>
    <w:rsid w:val="008A476C"/>
    <w:rPr>
      <w:color w:val="0000FF"/>
      <w:u w:val="single"/>
    </w:rPr>
  </w:style>
  <w:style w:type="character" w:customStyle="1" w:styleId="apple-converted-space">
    <w:name w:val="apple-converted-space"/>
    <w:basedOn w:val="DefaultParagraphFont"/>
    <w:rsid w:val="008A476C"/>
  </w:style>
  <w:style w:type="paragraph" w:customStyle="1" w:styleId="NumberedList">
    <w:name w:val="Numbered List"/>
    <w:basedOn w:val="Normal"/>
    <w:uiPriority w:val="99"/>
    <w:qFormat/>
    <w:rsid w:val="008A476C"/>
    <w:pPr>
      <w:numPr>
        <w:numId w:val="13"/>
      </w:numPr>
    </w:pPr>
    <w:rPr>
      <w:rFonts w:eastAsia="Calibri"/>
      <w:szCs w:val="22"/>
    </w:rPr>
  </w:style>
  <w:style w:type="paragraph" w:customStyle="1" w:styleId="ReferenceText">
    <w:name w:val="Reference Text"/>
    <w:basedOn w:val="Normal"/>
    <w:uiPriority w:val="99"/>
    <w:qFormat/>
    <w:rsid w:val="008A476C"/>
    <w:pPr>
      <w:ind w:left="720" w:hanging="720"/>
    </w:pPr>
    <w:rPr>
      <w:rFonts w:eastAsiaTheme="minorHAnsi" w:cstheme="minorBidi"/>
      <w:szCs w:val="22"/>
    </w:rPr>
  </w:style>
  <w:style w:type="paragraph" w:styleId="Title">
    <w:name w:val="Title"/>
    <w:basedOn w:val="Normal"/>
    <w:next w:val="Normal"/>
    <w:link w:val="TitleChar"/>
    <w:qFormat/>
    <w:rsid w:val="008A476C"/>
    <w:pPr>
      <w:pBdr>
        <w:bottom w:val="single" w:sz="8" w:space="4" w:color="4472C4" w:themeColor="accent1"/>
      </w:pBdr>
      <w:spacing w:after="300"/>
    </w:pPr>
    <w:rPr>
      <w:rFonts w:eastAsiaTheme="majorEastAsia" w:cstheme="majorBidi"/>
      <w:color w:val="1F3864" w:themeColor="accent1" w:themeShade="80"/>
      <w:spacing w:val="5"/>
      <w:kern w:val="28"/>
      <w:sz w:val="52"/>
      <w:szCs w:val="52"/>
    </w:rPr>
  </w:style>
  <w:style w:type="character" w:customStyle="1" w:styleId="TitleChar">
    <w:name w:val="Title Char"/>
    <w:basedOn w:val="DefaultParagraphFont"/>
    <w:link w:val="Title"/>
    <w:rsid w:val="008A476C"/>
    <w:rPr>
      <w:rFonts w:ascii="Times New Roman" w:eastAsiaTheme="majorEastAsia" w:hAnsi="Times New Roman" w:cstheme="majorBidi"/>
      <w:color w:val="1F3864" w:themeColor="accent1" w:themeShade="80"/>
      <w:spacing w:val="5"/>
      <w:kern w:val="28"/>
      <w:sz w:val="52"/>
      <w:szCs w:val="52"/>
      <w:lang w:val="en-US"/>
    </w:rPr>
  </w:style>
  <w:style w:type="paragraph" w:customStyle="1" w:styleId="BulletedList">
    <w:name w:val="Bulleted List"/>
    <w:basedOn w:val="Normal"/>
    <w:qFormat/>
    <w:rsid w:val="008A476C"/>
    <w:pPr>
      <w:numPr>
        <w:numId w:val="14"/>
      </w:numPr>
    </w:pPr>
  </w:style>
  <w:style w:type="paragraph" w:customStyle="1" w:styleId="BL">
    <w:name w:val="BL"/>
    <w:basedOn w:val="Normal"/>
    <w:autoRedefine/>
    <w:uiPriority w:val="99"/>
    <w:rsid w:val="008A476C"/>
    <w:pPr>
      <w:widowControl w:val="0"/>
      <w:numPr>
        <w:numId w:val="15"/>
      </w:numPr>
      <w:tabs>
        <w:tab w:val="left" w:pos="280"/>
      </w:tabs>
      <w:autoSpaceDE w:val="0"/>
      <w:autoSpaceDN w:val="0"/>
      <w:adjustRightInd w:val="0"/>
      <w:spacing w:before="0"/>
      <w:contextualSpacing w:val="0"/>
      <w:jc w:val="both"/>
      <w:textAlignment w:val="center"/>
    </w:pPr>
    <w:rPr>
      <w:rFonts w:eastAsia="Calibri" w:cs="Frutiger LT Std 57 Cn"/>
      <w:color w:val="000000"/>
      <w:szCs w:val="18"/>
      <w:lang w:val="en-GB" w:eastAsia="en-GB"/>
    </w:rPr>
  </w:style>
  <w:style w:type="paragraph" w:customStyle="1" w:styleId="NL">
    <w:name w:val="NL"/>
    <w:basedOn w:val="Normal"/>
    <w:qFormat/>
    <w:rsid w:val="008A476C"/>
    <w:pPr>
      <w:ind w:left="720" w:hanging="360"/>
    </w:pPr>
    <w:rPr>
      <w:color w:val="000000"/>
    </w:rPr>
  </w:style>
  <w:style w:type="paragraph" w:customStyle="1" w:styleId="Default">
    <w:name w:val="Default"/>
    <w:rsid w:val="00711CE9"/>
    <w:pPr>
      <w:autoSpaceDE w:val="0"/>
      <w:autoSpaceDN w:val="0"/>
      <w:adjustRightInd w:val="0"/>
    </w:pPr>
    <w:rPr>
      <w:rFonts w:ascii="Times New Roman" w:hAnsi="Times New Roman" w:cs="Times New Roman"/>
      <w:color w:val="000000"/>
      <w:lang w:val="en-US"/>
    </w:rPr>
  </w:style>
  <w:style w:type="character" w:customStyle="1" w:styleId="MTConvertedEquation">
    <w:name w:val="MTConvertedEquation"/>
    <w:basedOn w:val="DefaultParagraphFont"/>
    <w:rsid w:val="00711CE9"/>
    <w:rPr>
      <w:rFonts w:ascii="Cambria Math" w:hAnsi="Cambria Math"/>
      <w:i/>
    </w:rPr>
  </w:style>
  <w:style w:type="paragraph" w:customStyle="1" w:styleId="MTDisplayEquation">
    <w:name w:val="MTDisplayEquation"/>
    <w:basedOn w:val="Normal"/>
    <w:next w:val="Normal"/>
    <w:link w:val="MTDisplayEquationChar"/>
    <w:rsid w:val="00711CE9"/>
    <w:pPr>
      <w:tabs>
        <w:tab w:val="center" w:pos="4780"/>
        <w:tab w:val="right" w:pos="9020"/>
      </w:tabs>
      <w:ind w:left="540"/>
    </w:pPr>
  </w:style>
  <w:style w:type="character" w:customStyle="1" w:styleId="MTDisplayEquationChar">
    <w:name w:val="MTDisplayEquation Char"/>
    <w:basedOn w:val="DefaultParagraphFont"/>
    <w:link w:val="MTDisplayEquation"/>
    <w:rsid w:val="00711CE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5E48-06F9-46B3-BE6B-079B09FC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Word template.dotx</Template>
  <TotalTime>26</TotalTime>
  <Pages>3</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Collins</dc:creator>
  <cp:keywords/>
  <dc:description/>
  <cp:lastModifiedBy>Imogen Roome</cp:lastModifiedBy>
  <cp:revision>11</cp:revision>
  <dcterms:created xsi:type="dcterms:W3CDTF">2018-10-08T10:16:00Z</dcterms:created>
  <dcterms:modified xsi:type="dcterms:W3CDTF">2019-05-10T15:27:00Z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