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5F64" w:rsidRPr="00225F64" w:rsidRDefault="00225F64" w:rsidP="00225F64">
      <w:pPr>
        <w:rPr>
          <w:b/>
        </w:rPr>
      </w:pPr>
      <w:r w:rsidRPr="00225F64">
        <w:rPr>
          <w:b/>
        </w:rPr>
        <w:t>Key Note 13B - Perception of expressions in cortical blindness</w:t>
      </w:r>
    </w:p>
    <w:p w:rsidR="00225F64" w:rsidRDefault="00225F64" w:rsidP="00225F64"/>
    <w:p w:rsidR="004C514A" w:rsidRDefault="004C514A" w:rsidP="00225F64">
      <w:r>
        <w:t>This note describes how emotionally-charged stimuli of which the perceiver is unaware can interact with the perception of stimuli which reach awareness. The participant was unaware of the stimuli because of brain damage to part of the visual system.</w:t>
      </w:r>
    </w:p>
    <w:p w:rsidR="004C514A" w:rsidRDefault="004C514A" w:rsidP="00225F64"/>
    <w:p w:rsidR="00225F64" w:rsidRDefault="00225F64" w:rsidP="00225F64">
      <w:r>
        <w:t>Damage to human cortical visual area V1 produces blindness for the corresponding region of th</w:t>
      </w:r>
      <w:r w:rsidR="00706617">
        <w:t>e visual field. In Chapter 14, we discuss</w:t>
      </w:r>
      <w:r>
        <w:t xml:space="preserve"> the phenomenon of ‘</w:t>
      </w:r>
      <w:proofErr w:type="spellStart"/>
      <w:r>
        <w:t>blindsight</w:t>
      </w:r>
      <w:proofErr w:type="spellEnd"/>
      <w:r>
        <w:t xml:space="preserve">’, in which an </w:t>
      </w:r>
      <w:proofErr w:type="gramStart"/>
      <w:r>
        <w:t>individual  with</w:t>
      </w:r>
      <w:proofErr w:type="gramEnd"/>
      <w:r>
        <w:t xml:space="preserve"> damage to V1 may deny being aware of any stimulus in the affected region</w:t>
      </w:r>
      <w:r w:rsidR="00706617">
        <w:t xml:space="preserve"> of the visual field</w:t>
      </w:r>
      <w:r>
        <w:t xml:space="preserve">, but nevertheless may be able to make guesses which are better than chance about its presence and /or identity.  Could such an individual respond to the emotional expression of stimuli presented in the blind region of his visual field? Morris et al (2001) presented faces with either happy or fearful expressions to a patient (G.Y.) who was blind in half of the visual field, because of unilateral damage to V1. Each expression was presented for 1s in either the blind of normal half-field, and the task was to judge the sex of each face.  The patient performed significantly above chance on this task, even when images were presented in the ‘blind’ half-field.  Faces presented in the normal half-field produced activation in the striate, </w:t>
      </w:r>
      <w:proofErr w:type="spellStart"/>
      <w:r>
        <w:t>fusiform</w:t>
      </w:r>
      <w:proofErr w:type="spellEnd"/>
      <w:r>
        <w:t xml:space="preserve"> and </w:t>
      </w:r>
      <w:proofErr w:type="spellStart"/>
      <w:r>
        <w:t>dorsolateral</w:t>
      </w:r>
      <w:proofErr w:type="spellEnd"/>
      <w:r>
        <w:t xml:space="preserve"> prefrontal cortices, whereas those presented in the blind half-field produced no activation in those regions.  Compared with the effect of happy expressions, fearful expressions produced bilateral activation in the </w:t>
      </w:r>
      <w:proofErr w:type="spellStart"/>
      <w:r>
        <w:t>amygdala</w:t>
      </w:r>
      <w:proofErr w:type="spellEnd"/>
      <w:r>
        <w:t xml:space="preserve">, even when the stimuli were presented in the blind half-field. This study clearly shows that emotions can be perceived in the absence of conscious awareness of the stimuli. The authors found that </w:t>
      </w:r>
      <w:proofErr w:type="spellStart"/>
      <w:r>
        <w:t>amygdala</w:t>
      </w:r>
      <w:proofErr w:type="spellEnd"/>
      <w:r>
        <w:t xml:space="preserve"> activity co-varied with activity in the superior </w:t>
      </w:r>
      <w:proofErr w:type="spellStart"/>
      <w:r>
        <w:t>colliculus</w:t>
      </w:r>
      <w:proofErr w:type="spellEnd"/>
      <w:r>
        <w:t xml:space="preserve"> and a region of posterior thalamus, and suggested that the ‘affective </w:t>
      </w:r>
      <w:proofErr w:type="spellStart"/>
      <w:r>
        <w:t>blindsight</w:t>
      </w:r>
      <w:proofErr w:type="spellEnd"/>
      <w:r>
        <w:t xml:space="preserve">’ which they had found was mediated by a pathway from the superior </w:t>
      </w:r>
      <w:proofErr w:type="spellStart"/>
      <w:r>
        <w:t>colliculus</w:t>
      </w:r>
      <w:proofErr w:type="spellEnd"/>
      <w:r>
        <w:t xml:space="preserve"> to the posterior thalamus and thence to the </w:t>
      </w:r>
      <w:proofErr w:type="spellStart"/>
      <w:r>
        <w:t>amygdala</w:t>
      </w:r>
      <w:proofErr w:type="spellEnd"/>
      <w:r>
        <w:t>.</w:t>
      </w:r>
    </w:p>
    <w:p w:rsidR="00225F64" w:rsidRDefault="00225F64" w:rsidP="00225F64"/>
    <w:p w:rsidR="00225F64" w:rsidRDefault="00225F64" w:rsidP="00225F64">
      <w:r>
        <w:t xml:space="preserve">One can also ask to what extent processing of the emotional expression in the blind half-field can interact with that in the normal half-field. De </w:t>
      </w:r>
      <w:proofErr w:type="spellStart"/>
      <w:r>
        <w:t>Gelder</w:t>
      </w:r>
      <w:proofErr w:type="spellEnd"/>
      <w:r>
        <w:t xml:space="preserve"> et al (2005) presented patient G.Y. with two types of display. In the first, a face in the normal half-field was presented simultaneously with a face in the blind half-field.  In the second, a single face was presented in central vision, so that half was seen by the normal and half by the blind half-field. G.Y.’s task was to report the emotion in the face or half-face which he could see (the one in the normal half-field).  Identification of a fearful face was much better when the fearful face (or half-face) was accompanied by another fearful face (or half-face) in the blind half-field. When a happy expression was to be identified, performance was similar whatever the nature of the (half-) face in the blind half-field.  Using </w:t>
      </w:r>
      <w:proofErr w:type="spellStart"/>
      <w:r>
        <w:t>fMRI</w:t>
      </w:r>
      <w:proofErr w:type="spellEnd"/>
      <w:r>
        <w:t xml:space="preserve">, the authors showed that </w:t>
      </w:r>
      <w:r w:rsidR="00706617">
        <w:t>a fearful half-</w:t>
      </w:r>
      <w:r>
        <w:t xml:space="preserve">face in the blind half-field increases </w:t>
      </w:r>
      <w:proofErr w:type="spellStart"/>
      <w:r>
        <w:t>amygdala</w:t>
      </w:r>
      <w:proofErr w:type="spellEnd"/>
      <w:r>
        <w:t xml:space="preserve"> activity to the </w:t>
      </w:r>
      <w:proofErr w:type="spellStart"/>
      <w:r>
        <w:t>seen</w:t>
      </w:r>
      <w:proofErr w:type="spellEnd"/>
      <w:r>
        <w:t xml:space="preserve"> fearful face. A similar effect of expression congruence was found in superior </w:t>
      </w:r>
      <w:proofErr w:type="spellStart"/>
      <w:r>
        <w:t>colliculus</w:t>
      </w:r>
      <w:proofErr w:type="spellEnd"/>
      <w:r>
        <w:t xml:space="preserve">, and in </w:t>
      </w:r>
      <w:proofErr w:type="spellStart"/>
      <w:r>
        <w:t>fusiform</w:t>
      </w:r>
      <w:proofErr w:type="spellEnd"/>
      <w:r>
        <w:t xml:space="preserve"> cortex.  Thus processing of fearful expressions by the normal </w:t>
      </w:r>
      <w:proofErr w:type="spellStart"/>
      <w:r>
        <w:t>hemifield</w:t>
      </w:r>
      <w:proofErr w:type="spellEnd"/>
      <w:r>
        <w:t xml:space="preserve"> can be influenced by the expression being simultaneously processed by the blind </w:t>
      </w:r>
      <w:proofErr w:type="spellStart"/>
      <w:r>
        <w:t>hemifield</w:t>
      </w:r>
      <w:proofErr w:type="spellEnd"/>
      <w:r>
        <w:t xml:space="preserve">. </w:t>
      </w:r>
    </w:p>
    <w:p w:rsidR="00225F64" w:rsidRDefault="00225F64" w:rsidP="00225F64"/>
    <w:p w:rsidR="00225F64" w:rsidRDefault="00225F64" w:rsidP="00225F64">
      <w:proofErr w:type="spellStart"/>
      <w:r>
        <w:t>Ethofer</w:t>
      </w:r>
      <w:proofErr w:type="spellEnd"/>
      <w:r>
        <w:t xml:space="preserve"> et al (2006) showed that, in normal individuals, the emotional expression of a voice could influence the perception of simultaneously presented facial expressions. For example, they found that fearful or neutral faces were more likely to be rated as fearful if accompanied by a fearful voice.  This behavioural effect was accompanied by an increase in activity in the left </w:t>
      </w:r>
      <w:proofErr w:type="spellStart"/>
      <w:r>
        <w:t>amygdala</w:t>
      </w:r>
      <w:proofErr w:type="spellEnd"/>
      <w:r>
        <w:t xml:space="preserve">. Is awareness necessary for such cross-modal effects to occur?  De </w:t>
      </w:r>
      <w:proofErr w:type="spellStart"/>
      <w:r>
        <w:t>Gelder</w:t>
      </w:r>
      <w:proofErr w:type="spellEnd"/>
      <w:r>
        <w:t xml:space="preserve"> et al (2005) presented fearful faces or affective scenes to the blind half field of patient G.Y., at the same time as a voice which could be fearful or happy. The task was to identify the gender of the voice (and G.Y. was nearly perfect at this).  Again, when the voice and image seen by the </w:t>
      </w:r>
      <w:r>
        <w:lastRenderedPageBreak/>
        <w:t xml:space="preserve">blind half-field were congruent, </w:t>
      </w:r>
      <w:proofErr w:type="spellStart"/>
      <w:r>
        <w:t>amygdala</w:t>
      </w:r>
      <w:proofErr w:type="spellEnd"/>
      <w:r>
        <w:t xml:space="preserve"> activity was enhanced compared with when they were incongruent.</w:t>
      </w:r>
    </w:p>
    <w:p w:rsidR="001940A4" w:rsidRDefault="001940A4" w:rsidP="00225F64"/>
    <w:p w:rsidR="001940A4" w:rsidRDefault="001940A4" w:rsidP="00225F64">
      <w:r>
        <w:t>Taken together, these studies suggest that the emotional content of stimuli presented to a ‘blind’ region of the visual field can influence the perception of stimuli, both visual and auditory, presented via unimpaired sensory pathways.</w:t>
      </w:r>
    </w:p>
    <w:p w:rsidR="00706617" w:rsidRDefault="00706617" w:rsidP="00225F64"/>
    <w:p w:rsidR="00706617" w:rsidRDefault="00706617" w:rsidP="00706617">
      <w:r>
        <w:t xml:space="preserve">De </w:t>
      </w:r>
      <w:proofErr w:type="spellStart"/>
      <w:r>
        <w:t>Gelder</w:t>
      </w:r>
      <w:proofErr w:type="spellEnd"/>
      <w:r>
        <w:t xml:space="preserve"> B, Morris JS, Dolan RJ (2005) </w:t>
      </w:r>
      <w:proofErr w:type="spellStart"/>
      <w:r>
        <w:t>Uconscious</w:t>
      </w:r>
      <w:proofErr w:type="spellEnd"/>
      <w:r>
        <w:t xml:space="preserve"> fear influences emotional awareness of faces and voices.</w:t>
      </w:r>
      <w:r w:rsidRPr="000C7491">
        <w:t xml:space="preserve"> </w:t>
      </w:r>
      <w:r>
        <w:t>Proceedings of the National Academy of Sciences 102: 18682-18687</w:t>
      </w:r>
    </w:p>
    <w:p w:rsidR="00706617" w:rsidRDefault="00706617" w:rsidP="00225F64"/>
    <w:p w:rsidR="00706617" w:rsidRDefault="00706617" w:rsidP="00225F64"/>
    <w:p w:rsidR="00706617" w:rsidRPr="00404FD7" w:rsidRDefault="00706617" w:rsidP="00706617">
      <w:proofErr w:type="spellStart"/>
      <w:r w:rsidRPr="00404FD7">
        <w:t>Ethofer</w:t>
      </w:r>
      <w:proofErr w:type="spellEnd"/>
      <w:r w:rsidRPr="00404FD7">
        <w:t xml:space="preserve"> T, Anders S, </w:t>
      </w:r>
      <w:proofErr w:type="spellStart"/>
      <w:r w:rsidRPr="00404FD7">
        <w:t>Erb</w:t>
      </w:r>
      <w:proofErr w:type="spellEnd"/>
      <w:r w:rsidRPr="00404FD7">
        <w:t xml:space="preserve"> M, Droll C, </w:t>
      </w:r>
      <w:proofErr w:type="spellStart"/>
      <w:r w:rsidRPr="00404FD7">
        <w:t>Royen</w:t>
      </w:r>
      <w:proofErr w:type="spellEnd"/>
      <w:r w:rsidRPr="00404FD7">
        <w:t xml:space="preserve"> L, Saur R, </w:t>
      </w:r>
      <w:proofErr w:type="spellStart"/>
      <w:r w:rsidRPr="00404FD7">
        <w:t>Reiterer</w:t>
      </w:r>
      <w:proofErr w:type="spellEnd"/>
      <w:r w:rsidRPr="00404FD7">
        <w:t xml:space="preserve"> S, </w:t>
      </w:r>
      <w:proofErr w:type="spellStart"/>
      <w:r w:rsidRPr="00404FD7">
        <w:t>Grodd</w:t>
      </w:r>
      <w:proofErr w:type="spellEnd"/>
      <w:r w:rsidRPr="00404FD7">
        <w:t xml:space="preserve"> W, </w:t>
      </w:r>
      <w:proofErr w:type="spellStart"/>
      <w:r w:rsidRPr="00404FD7">
        <w:t>Wildgruber</w:t>
      </w:r>
      <w:proofErr w:type="spellEnd"/>
      <w:r w:rsidRPr="00404FD7">
        <w:t xml:space="preserve"> D (2006) Impact of voice on emotional judgement of faces: an event-related </w:t>
      </w:r>
      <w:proofErr w:type="spellStart"/>
      <w:r w:rsidRPr="00404FD7">
        <w:t>fMRI</w:t>
      </w:r>
      <w:proofErr w:type="spellEnd"/>
      <w:r w:rsidRPr="00404FD7">
        <w:t xml:space="preserve"> study. Human Brain Mapping 27: 707-714</w:t>
      </w:r>
    </w:p>
    <w:p w:rsidR="00706617" w:rsidRDefault="00706617" w:rsidP="00225F64"/>
    <w:p w:rsidR="00706617" w:rsidRDefault="00706617" w:rsidP="00225F64"/>
    <w:p w:rsidR="00706617" w:rsidRDefault="00706617" w:rsidP="00706617">
      <w:r>
        <w:t xml:space="preserve">Morris JS, de </w:t>
      </w:r>
      <w:proofErr w:type="spellStart"/>
      <w:r>
        <w:t>Gelder</w:t>
      </w:r>
      <w:proofErr w:type="spellEnd"/>
      <w:r>
        <w:t xml:space="preserve"> B, </w:t>
      </w:r>
      <w:proofErr w:type="spellStart"/>
      <w:r>
        <w:t>Weiskrantz</w:t>
      </w:r>
      <w:proofErr w:type="spellEnd"/>
      <w:r>
        <w:t xml:space="preserve"> L, Dolan RJ (2001) Differential </w:t>
      </w:r>
      <w:proofErr w:type="spellStart"/>
      <w:r>
        <w:t>extrageniculostriate</w:t>
      </w:r>
      <w:proofErr w:type="spellEnd"/>
      <w:r>
        <w:t xml:space="preserve"> and </w:t>
      </w:r>
      <w:proofErr w:type="spellStart"/>
      <w:r>
        <w:t>amygdala</w:t>
      </w:r>
      <w:proofErr w:type="spellEnd"/>
      <w:r>
        <w:t xml:space="preserve"> responses to presentation of emotional faces in a cortically blind field. Brain 124: 1241-1252</w:t>
      </w:r>
    </w:p>
    <w:p w:rsidR="00706617" w:rsidRDefault="00706617" w:rsidP="00225F64"/>
    <w:p w:rsidR="00FC3C76" w:rsidRDefault="00FC3C76"/>
    <w:sectPr w:rsidR="00FC3C76" w:rsidSect="00FC3C76">
      <w:footerReference w:type="default" r:id="rId6"/>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E1E20" w:rsidRDefault="003E1E20" w:rsidP="00706617">
      <w:r>
        <w:separator/>
      </w:r>
    </w:p>
  </w:endnote>
  <w:endnote w:type="continuationSeparator" w:id="0">
    <w:p w:rsidR="003E1E20" w:rsidRDefault="003E1E20" w:rsidP="0070661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691377"/>
      <w:docPartObj>
        <w:docPartGallery w:val="Page Numbers (Bottom of Page)"/>
        <w:docPartUnique/>
      </w:docPartObj>
    </w:sdtPr>
    <w:sdtContent>
      <w:p w:rsidR="00706617" w:rsidRDefault="00F911AA">
        <w:pPr>
          <w:pStyle w:val="Footer"/>
          <w:jc w:val="right"/>
        </w:pPr>
        <w:fldSimple w:instr=" PAGE   \* MERGEFORMAT ">
          <w:r w:rsidR="004C514A">
            <w:rPr>
              <w:noProof/>
            </w:rPr>
            <w:t>1</w:t>
          </w:r>
        </w:fldSimple>
      </w:p>
    </w:sdtContent>
  </w:sdt>
  <w:p w:rsidR="00706617" w:rsidRDefault="00706617">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E1E20" w:rsidRDefault="003E1E20" w:rsidP="00706617">
      <w:r>
        <w:separator/>
      </w:r>
    </w:p>
  </w:footnote>
  <w:footnote w:type="continuationSeparator" w:id="0">
    <w:p w:rsidR="003E1E20" w:rsidRDefault="003E1E20" w:rsidP="00706617">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225F64"/>
    <w:rsid w:val="001940A4"/>
    <w:rsid w:val="00225F64"/>
    <w:rsid w:val="003E1E20"/>
    <w:rsid w:val="004C514A"/>
    <w:rsid w:val="00706617"/>
    <w:rsid w:val="008E09CE"/>
    <w:rsid w:val="00F911AA"/>
    <w:rsid w:val="00FC3C76"/>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5F64"/>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706617"/>
    <w:pPr>
      <w:tabs>
        <w:tab w:val="center" w:pos="4513"/>
        <w:tab w:val="right" w:pos="9026"/>
      </w:tabs>
    </w:pPr>
  </w:style>
  <w:style w:type="character" w:customStyle="1" w:styleId="HeaderChar">
    <w:name w:val="Header Char"/>
    <w:basedOn w:val="DefaultParagraphFont"/>
    <w:link w:val="Header"/>
    <w:uiPriority w:val="99"/>
    <w:semiHidden/>
    <w:rsid w:val="00706617"/>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706617"/>
    <w:pPr>
      <w:tabs>
        <w:tab w:val="center" w:pos="4513"/>
        <w:tab w:val="right" w:pos="9026"/>
      </w:tabs>
    </w:pPr>
  </w:style>
  <w:style w:type="character" w:customStyle="1" w:styleId="FooterChar">
    <w:name w:val="Footer Char"/>
    <w:basedOn w:val="DefaultParagraphFont"/>
    <w:link w:val="Footer"/>
    <w:uiPriority w:val="99"/>
    <w:rsid w:val="00706617"/>
    <w:rPr>
      <w:rFonts w:ascii="Times New Roman" w:eastAsia="Times New Roman" w:hAnsi="Times New Roman" w:cs="Times New Roman"/>
      <w:sz w:val="24"/>
      <w:szCs w:val="24"/>
      <w:lang w:eastAsia="en-GB"/>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2</Pages>
  <Words>750</Words>
  <Characters>4276</Characters>
  <Application>Microsoft Office Word</Application>
  <DocSecurity>0</DocSecurity>
  <Lines>35</Lines>
  <Paragraphs>10</Paragraphs>
  <ScaleCrop>false</ScaleCrop>
  <Company>University of Reading</Company>
  <LinksUpToDate>false</LinksUpToDate>
  <CharactersWithSpaces>5016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Berry</dc:creator>
  <cp:keywords/>
  <dc:description/>
  <cp:lastModifiedBy>Berry</cp:lastModifiedBy>
  <cp:revision>4</cp:revision>
  <dcterms:created xsi:type="dcterms:W3CDTF">2014-03-05T10:25:00Z</dcterms:created>
  <dcterms:modified xsi:type="dcterms:W3CDTF">2014-03-10T12:57:00Z</dcterms:modified>
</cp:coreProperties>
</file>