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125D2A" w:rsidRDefault="00125D2A"/>
    <w:p w:rsidR="00115014" w:rsidRDefault="00115014"/>
    <w:p w:rsidR="00115014" w:rsidRPr="00614205" w:rsidRDefault="00115014" w:rsidP="00115014">
      <w:pPr>
        <w:rPr>
          <w:b/>
        </w:rPr>
      </w:pPr>
      <w:r w:rsidRPr="00614205">
        <w:rPr>
          <w:b/>
        </w:rPr>
        <w:t xml:space="preserve">Key Note 14B – Binocular rivalry and </w:t>
      </w:r>
      <w:proofErr w:type="spellStart"/>
      <w:r w:rsidRPr="00614205">
        <w:rPr>
          <w:b/>
        </w:rPr>
        <w:t>after</w:t>
      </w:r>
      <w:r w:rsidR="00614205">
        <w:rPr>
          <w:b/>
        </w:rPr>
        <w:t>e</w:t>
      </w:r>
      <w:r w:rsidRPr="00614205">
        <w:rPr>
          <w:b/>
        </w:rPr>
        <w:t>ffects</w:t>
      </w:r>
      <w:proofErr w:type="spellEnd"/>
      <w:r w:rsidRPr="00614205">
        <w:rPr>
          <w:b/>
        </w:rPr>
        <w:t xml:space="preserve"> of facial emotion</w:t>
      </w:r>
    </w:p>
    <w:p w:rsidR="00115014" w:rsidRDefault="00115014" w:rsidP="00115014"/>
    <w:p w:rsidR="00CF70FC" w:rsidRDefault="00CF70FC" w:rsidP="00115014">
      <w:r>
        <w:t>This note discusses the extent to which stimuli of which we are unaware can affect perception (and if so, how).</w:t>
      </w:r>
    </w:p>
    <w:p w:rsidR="00CF70FC" w:rsidRDefault="00CF70FC" w:rsidP="00115014"/>
    <w:p w:rsidR="00115014" w:rsidRDefault="00CF70FC" w:rsidP="00115014">
      <w:r>
        <w:t xml:space="preserve">We noted </w:t>
      </w:r>
      <w:r w:rsidR="00614205">
        <w:t xml:space="preserve">in </w:t>
      </w:r>
      <w:r>
        <w:t xml:space="preserve">Chapter 14 of </w:t>
      </w:r>
      <w:r w:rsidR="00614205">
        <w:t xml:space="preserve">the book </w:t>
      </w:r>
      <w:r w:rsidR="00115014">
        <w:t>th</w:t>
      </w:r>
      <w:r w:rsidR="00614205">
        <w:t xml:space="preserve">at face identity </w:t>
      </w:r>
      <w:proofErr w:type="spellStart"/>
      <w:r w:rsidR="00614205">
        <w:t>aftereffects</w:t>
      </w:r>
      <w:proofErr w:type="spellEnd"/>
      <w:r w:rsidR="00614205">
        <w:t xml:space="preserve"> a</w:t>
      </w:r>
      <w:r w:rsidR="00115014">
        <w:t>re abolished by lack of awareness (</w:t>
      </w:r>
      <w:proofErr w:type="spellStart"/>
      <w:r w:rsidR="00115014">
        <w:t>Moradi</w:t>
      </w:r>
      <w:proofErr w:type="spellEnd"/>
      <w:r w:rsidR="00115014">
        <w:t xml:space="preserve"> et al, 2005). Two groups of researchers asked whether the same was true of facial emotional </w:t>
      </w:r>
      <w:proofErr w:type="spellStart"/>
      <w:r w:rsidR="00115014">
        <w:t>aftereffects</w:t>
      </w:r>
      <w:proofErr w:type="spellEnd"/>
      <w:r w:rsidR="00115014">
        <w:t xml:space="preserve"> (Yang et al, 2010; Adams et al 2010), since there is evidence for a </w:t>
      </w:r>
      <w:proofErr w:type="spellStart"/>
      <w:r w:rsidR="00115014">
        <w:t>subcortical</w:t>
      </w:r>
      <w:proofErr w:type="spellEnd"/>
      <w:r w:rsidR="00115014">
        <w:t xml:space="preserve"> pathway involving the </w:t>
      </w:r>
      <w:proofErr w:type="spellStart"/>
      <w:r w:rsidR="00115014">
        <w:t>amygdala</w:t>
      </w:r>
      <w:proofErr w:type="spellEnd"/>
      <w:r w:rsidR="00115014">
        <w:t xml:space="preserve"> in the perception of emotion</w:t>
      </w:r>
      <w:r w:rsidR="00614205">
        <w:t xml:space="preserve"> (see Chapter 13)</w:t>
      </w:r>
      <w:r w:rsidR="00115014">
        <w:t xml:space="preserve">. Yang et al found that emotional </w:t>
      </w:r>
      <w:proofErr w:type="spellStart"/>
      <w:r w:rsidR="00115014">
        <w:t>aftereffects</w:t>
      </w:r>
      <w:proofErr w:type="spellEnd"/>
      <w:r w:rsidR="00115014">
        <w:t xml:space="preserve"> following monocular adaptation were greatly reduced by Continuous Flash Suppression in the other eye, whereas Adams et al report stronger emotional </w:t>
      </w:r>
      <w:proofErr w:type="spellStart"/>
      <w:r w:rsidR="00115014">
        <w:t>aftereffects</w:t>
      </w:r>
      <w:proofErr w:type="spellEnd"/>
      <w:r w:rsidR="00115014">
        <w:t xml:space="preserve">, using rivalry from dynamic random patterns to suppress awareness of the adaptor.  Adams et al (2011) argue that the requirement in their study for the participant to monitor the stimuli continuously to check on awareness of the adapting faces may have led to the stronger emotional </w:t>
      </w:r>
      <w:proofErr w:type="spellStart"/>
      <w:r w:rsidR="00115014">
        <w:t>aftereffects</w:t>
      </w:r>
      <w:proofErr w:type="spellEnd"/>
      <w:r w:rsidR="00115014">
        <w:t xml:space="preserve"> which they found.  They also suggest that physical properties of the stimuli, not their emotional message, may underlie their perception (and so presumably might adapt early visual mechanisms in V1, not in mechanisms fed by the pathway to the </w:t>
      </w:r>
      <w:proofErr w:type="spellStart"/>
      <w:r w:rsidR="00115014">
        <w:t>amygdala</w:t>
      </w:r>
      <w:proofErr w:type="spellEnd"/>
      <w:r w:rsidR="00115014">
        <w:t>).</w:t>
      </w:r>
    </w:p>
    <w:p w:rsidR="00115014" w:rsidRDefault="00115014" w:rsidP="00115014"/>
    <w:p w:rsidR="00115014" w:rsidRDefault="00614205" w:rsidP="00115014">
      <w:r>
        <w:t>Thus</w:t>
      </w:r>
      <w:r w:rsidR="00EB7543">
        <w:t>,</w:t>
      </w:r>
      <w:r>
        <w:t xml:space="preserve"> at present</w:t>
      </w:r>
      <w:r w:rsidR="00EB7543">
        <w:t>,</w:t>
      </w:r>
      <w:r>
        <w:t xml:space="preserve"> the situation is uncertain. It appears that adaptation to suppressed emotional stimuli can occur, but it is not yet clear whether this adaptation is of e</w:t>
      </w:r>
      <w:r w:rsidR="00CF70FC">
        <w:t xml:space="preserve">motional processing via </w:t>
      </w:r>
      <w:proofErr w:type="spellStart"/>
      <w:r w:rsidR="00CF70FC">
        <w:t>amygdala</w:t>
      </w:r>
      <w:proofErr w:type="spellEnd"/>
      <w:r>
        <w:t xml:space="preserve">, or of </w:t>
      </w:r>
      <w:r w:rsidR="00EB7543">
        <w:t xml:space="preserve">processing of </w:t>
      </w:r>
      <w:r>
        <w:t xml:space="preserve">physical characteristics via V1. </w:t>
      </w:r>
    </w:p>
    <w:p w:rsidR="00115014" w:rsidRDefault="00115014" w:rsidP="00115014"/>
    <w:p w:rsidR="00115014" w:rsidRPr="00E041D4" w:rsidRDefault="00115014" w:rsidP="00115014">
      <w:proofErr w:type="gramStart"/>
      <w:r w:rsidRPr="00E041D4">
        <w:t xml:space="preserve">Adams WJ, Gray KLH, Garner M, Graf EW (2010) High-level face </w:t>
      </w:r>
      <w:proofErr w:type="spellStart"/>
      <w:r w:rsidRPr="00E041D4">
        <w:t>aftereffects</w:t>
      </w:r>
      <w:proofErr w:type="spellEnd"/>
      <w:r w:rsidRPr="00E041D4">
        <w:t xml:space="preserve"> without awareness.</w:t>
      </w:r>
      <w:proofErr w:type="gramEnd"/>
      <w:r w:rsidRPr="00E041D4">
        <w:t xml:space="preserve"> Psychological Science 21(2): 205-210</w:t>
      </w:r>
    </w:p>
    <w:p w:rsidR="00115014" w:rsidRPr="00E041D4" w:rsidRDefault="00115014" w:rsidP="00115014"/>
    <w:p w:rsidR="00115014" w:rsidRDefault="00115014" w:rsidP="00115014">
      <w:r w:rsidRPr="00E041D4">
        <w:t xml:space="preserve">Adams WJ, Gray KLH, Garner M, Graf EW (2011) </w:t>
      </w:r>
      <w:proofErr w:type="gramStart"/>
      <w:r w:rsidRPr="00E041D4">
        <w:t>On</w:t>
      </w:r>
      <w:proofErr w:type="gramEnd"/>
      <w:r w:rsidRPr="00E041D4">
        <w:t xml:space="preserve"> the special status of emotional faces…. Comment on Yang, Hong, and Blake (2010) Journal of Vision 11(3): 1-4</w:t>
      </w:r>
    </w:p>
    <w:p w:rsidR="00D67EFC" w:rsidRDefault="00D67EFC" w:rsidP="00115014"/>
    <w:p w:rsidR="00D67EFC" w:rsidRPr="00E041D4" w:rsidRDefault="00D67EFC" w:rsidP="00115014">
      <w:proofErr w:type="spellStart"/>
      <w:r>
        <w:t>Moradi</w:t>
      </w:r>
      <w:proofErr w:type="spellEnd"/>
      <w:r>
        <w:t xml:space="preserve"> F, Koch C, </w:t>
      </w:r>
      <w:proofErr w:type="spellStart"/>
      <w:r>
        <w:t>Shimojo</w:t>
      </w:r>
      <w:proofErr w:type="spellEnd"/>
      <w:r>
        <w:t xml:space="preserve"> S (2005) Face adaptation depends on seeing the face. Neuron  45: 169-175</w:t>
      </w:r>
    </w:p>
    <w:p w:rsidR="00115014" w:rsidRPr="00E041D4" w:rsidRDefault="00115014" w:rsidP="00115014"/>
    <w:p w:rsidR="00115014" w:rsidRPr="00E041D4" w:rsidRDefault="00115014" w:rsidP="00115014">
      <w:r w:rsidRPr="00E041D4">
        <w:t xml:space="preserve">Yang E, Hong S-W, Blake R (2010) Adaptation </w:t>
      </w:r>
      <w:proofErr w:type="spellStart"/>
      <w:r w:rsidRPr="00E041D4">
        <w:t>aftereffects</w:t>
      </w:r>
      <w:proofErr w:type="spellEnd"/>
      <w:r w:rsidRPr="00E041D4">
        <w:t xml:space="preserve"> to facial expressions suppressed from visual awareness. Journal of Vision 10(12): 1-13</w:t>
      </w:r>
    </w:p>
    <w:p w:rsidR="00115014" w:rsidRDefault="00115014"/>
    <w:sectPr w:rsidR="00115014" w:rsidSect="00125D2A">
      <w:footerReference w:type="default" r:id="rId7"/>
      <w:pgSz w:w="11906" w:h="16838"/>
      <w:pgMar w:top="1440" w:right="1440" w:bottom="1440" w:left="1440" w:header="708" w:footer="708"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A849CA" w:rsidRDefault="00A849CA" w:rsidP="00CF70FC">
      <w:r>
        <w:separator/>
      </w:r>
    </w:p>
  </w:endnote>
  <w:endnote w:type="continuationSeparator" w:id="0">
    <w:p w:rsidR="00A849CA" w:rsidRDefault="00A849CA" w:rsidP="00CF70FC">
      <w:r>
        <w:continuationSeparator/>
      </w:r>
    </w:p>
  </w:endnote>
</w:endnotes>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20002A87" w:usb1="80000000" w:usb2="00000008" w:usb3="00000000" w:csb0="000001FF" w:csb1="00000000"/>
  </w:font>
  <w:font w:name="Courier New">
    <w:panose1 w:val="02070309020205020404"/>
    <w:charset w:val="00"/>
    <w:family w:val="modern"/>
    <w:pitch w:val="fixed"/>
    <w:sig w:usb0="20002A87" w:usb1="80000000" w:usb2="00000008"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A00002EF" w:usb1="4000207B" w:usb2="00000000" w:usb3="00000000" w:csb0="0000009F" w:csb1="00000000"/>
  </w:font>
  <w:font w:name="Cambria">
    <w:panose1 w:val="02040503050406030204"/>
    <w:charset w:val="00"/>
    <w:family w:val="roman"/>
    <w:pitch w:val="variable"/>
    <w:sig w:usb0="A00002EF" w:usb1="4000004B" w:usb2="00000000" w:usb3="00000000" w:csb0="000000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id w:val="6152556"/>
      <w:docPartObj>
        <w:docPartGallery w:val="Page Numbers (Bottom of Page)"/>
        <w:docPartUnique/>
      </w:docPartObj>
    </w:sdtPr>
    <w:sdtContent>
      <w:p w:rsidR="00CF70FC" w:rsidRDefault="00CF70FC">
        <w:pPr>
          <w:pStyle w:val="Footer"/>
          <w:jc w:val="right"/>
        </w:pPr>
        <w:fldSimple w:instr=" PAGE   \* MERGEFORMAT ">
          <w:r w:rsidR="00D67EFC">
            <w:rPr>
              <w:noProof/>
            </w:rPr>
            <w:t>1</w:t>
          </w:r>
        </w:fldSimple>
      </w:p>
    </w:sdtContent>
  </w:sdt>
  <w:p w:rsidR="00CF70FC" w:rsidRDefault="00CF70FC">
    <w:pPr>
      <w:pStyle w:val="Footer"/>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A849CA" w:rsidRDefault="00A849CA" w:rsidP="00CF70FC">
      <w:r>
        <w:separator/>
      </w:r>
    </w:p>
  </w:footnote>
  <w:footnote w:type="continuationSeparator" w:id="0">
    <w:p w:rsidR="00A849CA" w:rsidRDefault="00A849CA" w:rsidP="00CF70FC">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0932BCA"/>
    <w:multiLevelType w:val="hybridMultilevel"/>
    <w:tmpl w:val="44524AA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20"/>
  <w:characterSpacingControl w:val="doNotCompress"/>
  <w:footnotePr>
    <w:footnote w:id="-1"/>
    <w:footnote w:id="0"/>
  </w:footnotePr>
  <w:endnotePr>
    <w:endnote w:id="-1"/>
    <w:endnote w:id="0"/>
  </w:endnotePr>
  <w:compat/>
  <w:rsids>
    <w:rsidRoot w:val="00115014"/>
    <w:rsid w:val="00115014"/>
    <w:rsid w:val="00125D2A"/>
    <w:rsid w:val="003D292E"/>
    <w:rsid w:val="00614205"/>
    <w:rsid w:val="00A849CA"/>
    <w:rsid w:val="00CF70FC"/>
    <w:rsid w:val="00D67EFC"/>
    <w:rsid w:val="00EB7543"/>
  </w:rsids>
  <m:mathPr>
    <m:mathFont m:val="Cambria Math"/>
    <m:brkBin m:val="before"/>
    <m:brkBinSub m:val="--"/>
    <m:smallFrac m:val="off"/>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3074"/>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115014"/>
    <w:pPr>
      <w:spacing w:after="0" w:line="240" w:lineRule="auto"/>
    </w:pPr>
    <w:rPr>
      <w:rFonts w:ascii="Times New Roman" w:eastAsia="Times New Roman" w:hAnsi="Times New Roman" w:cs="Times New Roman"/>
      <w:sz w:val="24"/>
      <w:szCs w:val="24"/>
      <w:lang w:eastAsia="en-G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115014"/>
    <w:pPr>
      <w:ind w:left="720"/>
      <w:contextualSpacing/>
    </w:pPr>
  </w:style>
  <w:style w:type="paragraph" w:styleId="Header">
    <w:name w:val="header"/>
    <w:basedOn w:val="Normal"/>
    <w:link w:val="HeaderChar"/>
    <w:uiPriority w:val="99"/>
    <w:semiHidden/>
    <w:unhideWhenUsed/>
    <w:rsid w:val="00CF70FC"/>
    <w:pPr>
      <w:tabs>
        <w:tab w:val="center" w:pos="4513"/>
        <w:tab w:val="right" w:pos="9026"/>
      </w:tabs>
    </w:pPr>
  </w:style>
  <w:style w:type="character" w:customStyle="1" w:styleId="HeaderChar">
    <w:name w:val="Header Char"/>
    <w:basedOn w:val="DefaultParagraphFont"/>
    <w:link w:val="Header"/>
    <w:uiPriority w:val="99"/>
    <w:semiHidden/>
    <w:rsid w:val="00CF70FC"/>
    <w:rPr>
      <w:rFonts w:ascii="Times New Roman" w:eastAsia="Times New Roman" w:hAnsi="Times New Roman" w:cs="Times New Roman"/>
      <w:sz w:val="24"/>
      <w:szCs w:val="24"/>
      <w:lang w:eastAsia="en-GB"/>
    </w:rPr>
  </w:style>
  <w:style w:type="paragraph" w:styleId="Footer">
    <w:name w:val="footer"/>
    <w:basedOn w:val="Normal"/>
    <w:link w:val="FooterChar"/>
    <w:uiPriority w:val="99"/>
    <w:unhideWhenUsed/>
    <w:rsid w:val="00CF70FC"/>
    <w:pPr>
      <w:tabs>
        <w:tab w:val="center" w:pos="4513"/>
        <w:tab w:val="right" w:pos="9026"/>
      </w:tabs>
    </w:pPr>
  </w:style>
  <w:style w:type="character" w:customStyle="1" w:styleId="FooterChar">
    <w:name w:val="Footer Char"/>
    <w:basedOn w:val="DefaultParagraphFont"/>
    <w:link w:val="Footer"/>
    <w:uiPriority w:val="99"/>
    <w:rsid w:val="00CF70FC"/>
    <w:rPr>
      <w:rFonts w:ascii="Times New Roman" w:eastAsia="Times New Roman" w:hAnsi="Times New Roman" w:cs="Times New Roman"/>
      <w:sz w:val="24"/>
      <w:szCs w:val="24"/>
      <w:lang w:eastAsia="en-GB"/>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16</TotalTime>
  <Pages>1</Pages>
  <Words>314</Words>
  <Characters>1794</Characters>
  <Application>Microsoft Office Word</Application>
  <DocSecurity>0</DocSecurity>
  <Lines>14</Lines>
  <Paragraphs>4</Paragraphs>
  <ScaleCrop>false</ScaleCrop>
  <HeadingPairs>
    <vt:vector size="2" baseType="variant">
      <vt:variant>
        <vt:lpstr>Title</vt:lpstr>
      </vt:variant>
      <vt:variant>
        <vt:i4>1</vt:i4>
      </vt:variant>
    </vt:vector>
  </HeadingPairs>
  <TitlesOfParts>
    <vt:vector size="1" baseType="lpstr">
      <vt:lpstr/>
    </vt:vector>
  </TitlesOfParts>
  <Company>University of Reading</Company>
  <LinksUpToDate>false</LinksUpToDate>
  <CharactersWithSpaces>2104</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Berry</dc:creator>
  <cp:keywords/>
  <dc:description/>
  <cp:lastModifiedBy>Berry</cp:lastModifiedBy>
  <cp:revision>4</cp:revision>
  <dcterms:created xsi:type="dcterms:W3CDTF">2014-03-05T16:46:00Z</dcterms:created>
  <dcterms:modified xsi:type="dcterms:W3CDTF">2014-03-10T14:12:00Z</dcterms:modified>
</cp:coreProperties>
</file>