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043" w:rsidRPr="00086043" w:rsidRDefault="00086043" w:rsidP="00086043">
      <w:pPr>
        <w:rPr>
          <w:rFonts w:ascii="Times New Roman" w:hAnsi="Times New Roman" w:cs="Times New Roman"/>
          <w:sz w:val="24"/>
          <w:szCs w:val="24"/>
        </w:rPr>
      </w:pPr>
      <w:r w:rsidRPr="00086043">
        <w:rPr>
          <w:rFonts w:ascii="Times New Roman" w:hAnsi="Times New Roman" w:cs="Times New Roman"/>
          <w:b/>
          <w:sz w:val="24"/>
          <w:szCs w:val="24"/>
        </w:rPr>
        <w:t>Key Note 8B - Tactile recognition of faces</w:t>
      </w:r>
    </w:p>
    <w:p w:rsidR="004F4BEE" w:rsidRDefault="004F4BEE" w:rsidP="00086043">
      <w:pPr>
        <w:rPr>
          <w:rFonts w:ascii="Times New Roman" w:hAnsi="Times New Roman" w:cs="Times New Roman"/>
          <w:sz w:val="24"/>
          <w:szCs w:val="24"/>
        </w:rPr>
      </w:pPr>
      <w:r>
        <w:rPr>
          <w:rFonts w:ascii="Times New Roman" w:hAnsi="Times New Roman" w:cs="Times New Roman"/>
          <w:sz w:val="24"/>
          <w:szCs w:val="24"/>
        </w:rPr>
        <w:t>The aim of this note is to describe studies of how well active touch, which has probably evolved to recognise the surface properties of objects, fares in the recognition of more complex configurations.</w:t>
      </w:r>
    </w:p>
    <w:p w:rsidR="00086043" w:rsidRDefault="00086043" w:rsidP="00086043">
      <w:pPr>
        <w:rPr>
          <w:rFonts w:ascii="Times New Roman" w:hAnsi="Times New Roman" w:cs="Times New Roman"/>
          <w:sz w:val="24"/>
          <w:szCs w:val="24"/>
        </w:rPr>
      </w:pPr>
      <w:r>
        <w:rPr>
          <w:rFonts w:ascii="Times New Roman" w:hAnsi="Times New Roman" w:cs="Times New Roman"/>
          <w:sz w:val="24"/>
          <w:szCs w:val="24"/>
        </w:rPr>
        <w:t xml:space="preserve">In recent years, visual recognition of faces has been extensively studied (see Chapter 12). </w:t>
      </w:r>
      <w:proofErr w:type="spellStart"/>
      <w:r>
        <w:rPr>
          <w:rFonts w:ascii="Times New Roman" w:hAnsi="Times New Roman" w:cs="Times New Roman"/>
          <w:sz w:val="24"/>
          <w:szCs w:val="24"/>
        </w:rPr>
        <w:t>Kilgour</w:t>
      </w:r>
      <w:proofErr w:type="spellEnd"/>
      <w:r>
        <w:rPr>
          <w:rFonts w:ascii="Times New Roman" w:hAnsi="Times New Roman" w:cs="Times New Roman"/>
          <w:sz w:val="24"/>
          <w:szCs w:val="24"/>
        </w:rPr>
        <w:t xml:space="preserve"> and Lederman (2002) investigated how well faces could be recognised by touch.  In this study, 47</w:t>
      </w:r>
      <w:r w:rsidR="007834DA">
        <w:rPr>
          <w:rFonts w:ascii="Times New Roman" w:hAnsi="Times New Roman" w:cs="Times New Roman"/>
          <w:sz w:val="24"/>
          <w:szCs w:val="24"/>
        </w:rPr>
        <w:t xml:space="preserve"> women</w:t>
      </w:r>
      <w:r>
        <w:rPr>
          <w:rFonts w:ascii="Times New Roman" w:hAnsi="Times New Roman" w:cs="Times New Roman"/>
          <w:sz w:val="24"/>
          <w:szCs w:val="24"/>
        </w:rPr>
        <w:t xml:space="preserve"> volunteered to have their faces manually explored.  Their faces were grouped, first visually from photographs, then tactually by blindfolded volunteers, initially on the basis of their overall face shape (round, square, oval, heart-shaped) and then on the similarity of their chins, noses and foreheads.  At each stage, some individuals were discarded, to leave 6 groups, each of three faces. Within each group, chosen to be tactually similar, one of the 3 faces was selected as a standard, with the others as comparisons.  Plaster casts were made of each face, after coating it with petroleum jelly, then masks formed by putting clay into the cast, removing the mask after it had dried, and firing it in an oven. Small imperfections in the surface of the mask were removed with sandpaper. </w:t>
      </w:r>
    </w:p>
    <w:p w:rsidR="00086043" w:rsidRDefault="00086043" w:rsidP="00086043">
      <w:pPr>
        <w:rPr>
          <w:rFonts w:ascii="Times New Roman" w:hAnsi="Times New Roman" w:cs="Times New Roman"/>
          <w:sz w:val="24"/>
          <w:szCs w:val="24"/>
        </w:rPr>
      </w:pPr>
      <w:r>
        <w:rPr>
          <w:rFonts w:ascii="Times New Roman" w:hAnsi="Times New Roman" w:cs="Times New Roman"/>
          <w:sz w:val="24"/>
          <w:szCs w:val="24"/>
        </w:rPr>
        <w:t>During the experiment, these volunteers, who were instructed to keep motionless and to keep their eyes closed, worse thick headbands to prevent touching of their hair and to provide a boundary at the edge of the face.  One group of participants (H-H), who wore blindfolds, headphones, and nasal ointment (to remove visual, auditory and olfactory cues, respectively) explored the standard face (in all but one case, with both hands).  They were then presented with three faces (one, the standard) in counterbalanced order, and had</w:t>
      </w:r>
      <w:r w:rsidR="004F4BEE">
        <w:rPr>
          <w:rFonts w:ascii="Times New Roman" w:hAnsi="Times New Roman" w:cs="Times New Roman"/>
          <w:sz w:val="24"/>
          <w:szCs w:val="24"/>
        </w:rPr>
        <w:t xml:space="preserve"> to identify the standard, and </w:t>
      </w:r>
      <w:r>
        <w:rPr>
          <w:rFonts w:ascii="Times New Roman" w:hAnsi="Times New Roman" w:cs="Times New Roman"/>
          <w:sz w:val="24"/>
          <w:szCs w:val="24"/>
        </w:rPr>
        <w:t xml:space="preserve">rate how comfortable they were with the task. Another group (VH-H, who </w:t>
      </w:r>
      <w:proofErr w:type="gramStart"/>
      <w:r>
        <w:rPr>
          <w:rFonts w:ascii="Times New Roman" w:hAnsi="Times New Roman" w:cs="Times New Roman"/>
          <w:sz w:val="24"/>
          <w:szCs w:val="24"/>
        </w:rPr>
        <w:t>were</w:t>
      </w:r>
      <w:proofErr w:type="gramEnd"/>
      <w:r>
        <w:rPr>
          <w:rFonts w:ascii="Times New Roman" w:hAnsi="Times New Roman" w:cs="Times New Roman"/>
          <w:sz w:val="24"/>
          <w:szCs w:val="24"/>
        </w:rPr>
        <w:t xml:space="preserve"> not blindfolded, were instructed to explore the faces visually, as well as manually, and were then tested without vision. A third group (</w:t>
      </w:r>
      <w:proofErr w:type="spellStart"/>
      <w:r>
        <w:rPr>
          <w:rFonts w:ascii="Times New Roman" w:hAnsi="Times New Roman" w:cs="Times New Roman"/>
          <w:sz w:val="24"/>
          <w:szCs w:val="24"/>
        </w:rPr>
        <w:t>Hmasks-Hmasks</w:t>
      </w:r>
      <w:proofErr w:type="spellEnd"/>
      <w:r>
        <w:rPr>
          <w:rFonts w:ascii="Times New Roman" w:hAnsi="Times New Roman" w:cs="Times New Roman"/>
          <w:sz w:val="24"/>
          <w:szCs w:val="24"/>
        </w:rPr>
        <w:t xml:space="preserve">), who explored the face masks tactually, were blind folded during exploration and testing. Participants were asked which facial characteristics they used to carry out the task, and their reports were classified as geometrical (e.g. shape of chin or nose) or material (e.g. blemishes, brow texture, temperature). After the face recognition part of the study, participants completed the Vividness of Visual Imagery Questionnaire (VVIQ – Marks, 1973).  </w:t>
      </w:r>
    </w:p>
    <w:p w:rsidR="00086043" w:rsidRDefault="00086043" w:rsidP="00086043">
      <w:pPr>
        <w:rPr>
          <w:rFonts w:ascii="Times New Roman" w:hAnsi="Times New Roman" w:cs="Times New Roman"/>
          <w:sz w:val="24"/>
          <w:szCs w:val="24"/>
        </w:rPr>
      </w:pPr>
      <w:r>
        <w:rPr>
          <w:rFonts w:ascii="Times New Roman" w:hAnsi="Times New Roman" w:cs="Times New Roman"/>
          <w:sz w:val="24"/>
          <w:szCs w:val="24"/>
        </w:rPr>
        <w:t xml:space="preserve">In the H-H group, accuracy was about 79% (with a chance level of 33%).  Geometrical cues were most used (about 72%), but material cues were clearly also important. Performance was worse in the VH-H group (about 71%) and geometric cues used more (76%).  In the masks condition, accuracy was least (59%) and geometric cues used most (96%).  Neither accuracy nor response time correlated significantly with VVIQ scores, as might have been expected if participants attempted to visualise faces from the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input.  The authors concluded that face recognition by touch was ‘quite good’, and involved ‘material’ cues, which are processed efficiently by touch.  When material cues were removed in the masks condition, performance fell by 20%.  A surprising aspect of the data was that performance was worse when vision as well as touch was allowed during initial exploration of the faces. The authors suggested that, because visual recognition of faces is so good, participants may have paid less attention to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processing.</w:t>
      </w:r>
    </w:p>
    <w:p w:rsidR="00086043" w:rsidRDefault="00086043" w:rsidP="00086043">
      <w:pPr>
        <w:rPr>
          <w:rFonts w:ascii="Times New Roman" w:hAnsi="Times New Roman" w:cs="Times New Roman"/>
          <w:sz w:val="24"/>
          <w:szCs w:val="24"/>
        </w:rPr>
      </w:pPr>
      <w:r>
        <w:rPr>
          <w:rFonts w:ascii="Times New Roman" w:hAnsi="Times New Roman" w:cs="Times New Roman"/>
          <w:sz w:val="24"/>
          <w:szCs w:val="24"/>
        </w:rPr>
        <w:lastRenderedPageBreak/>
        <w:t xml:space="preserve">One of the hallmarks of visual face recognition is the so-called inversion effect (see Chapter 12), the decrement in recognition performance when faces are turned upside down. In a later study, </w:t>
      </w:r>
      <w:proofErr w:type="spellStart"/>
      <w:r>
        <w:rPr>
          <w:rFonts w:ascii="Times New Roman" w:hAnsi="Times New Roman" w:cs="Times New Roman"/>
          <w:sz w:val="24"/>
          <w:szCs w:val="24"/>
        </w:rPr>
        <w:t>Kilgour</w:t>
      </w:r>
      <w:proofErr w:type="spellEnd"/>
      <w:r>
        <w:rPr>
          <w:rFonts w:ascii="Times New Roman" w:hAnsi="Times New Roman" w:cs="Times New Roman"/>
          <w:sz w:val="24"/>
          <w:szCs w:val="24"/>
        </w:rPr>
        <w:t xml:space="preserve"> and Lederman (2006) found a similar effect for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face recognition. Their stimuli were the face masks described </w:t>
      </w:r>
      <w:proofErr w:type="gramStart"/>
      <w:r>
        <w:rPr>
          <w:rFonts w:ascii="Times New Roman" w:hAnsi="Times New Roman" w:cs="Times New Roman"/>
          <w:sz w:val="24"/>
          <w:szCs w:val="24"/>
        </w:rPr>
        <w:t>above,</w:t>
      </w:r>
      <w:proofErr w:type="gramEnd"/>
      <w:r>
        <w:rPr>
          <w:rFonts w:ascii="Times New Roman" w:hAnsi="Times New Roman" w:cs="Times New Roman"/>
          <w:sz w:val="24"/>
          <w:szCs w:val="24"/>
        </w:rPr>
        <w:t xml:space="preserve"> and, importantly, teapots as control stimuli, chosen because they are normally perceived in one orientation (lid up), have some characteristic protuberances, and vary in small details. The teapots were made in the same clay as the faces, and, although lids, spouts and handles could differ, each teapot shared at least one common feature with another teapot.  The teapots were cut in half vertically to resemble the masks more closely. Teapots and faces were presented in pairs, either upright or inverted, and the participants asked to judge whether the items were the same or different. As with visual recognition, performance on faces was significantly better (by nearly 20%) when upright than when they were inverted, but orientation had no effect on recognition of teapots.  The authors do not give a definite explanation for their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face inversion effect. Although it is possible that participants used a visual representation of the faces generated from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information, the lack of significant correlation between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recognition performance and the VVIQ in their earlier study does not support this. However, it is possible that some kind of </w:t>
      </w:r>
      <w:proofErr w:type="spellStart"/>
      <w:r>
        <w:rPr>
          <w:rFonts w:ascii="Times New Roman" w:hAnsi="Times New Roman" w:cs="Times New Roman"/>
          <w:sz w:val="24"/>
          <w:szCs w:val="24"/>
        </w:rPr>
        <w:t>configural</w:t>
      </w:r>
      <w:proofErr w:type="spellEnd"/>
      <w:r>
        <w:rPr>
          <w:rFonts w:ascii="Times New Roman" w:hAnsi="Times New Roman" w:cs="Times New Roman"/>
          <w:sz w:val="24"/>
          <w:szCs w:val="24"/>
        </w:rPr>
        <w:t xml:space="preserve"> processing (based on the relationship between features, not only on the features themselves) whether in a visual or a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representation, underlies the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inversion effect. As evidence for this, the authors cite the result of a subsidiary experiment, in which exploration time was limited to 10 s, and in which no inversion effect was found for faces as well as for teapots. They argue that, because of the limited ‘field of view’ of the hand, a representation which would support </w:t>
      </w:r>
      <w:proofErr w:type="spellStart"/>
      <w:r>
        <w:rPr>
          <w:rFonts w:ascii="Times New Roman" w:hAnsi="Times New Roman" w:cs="Times New Roman"/>
          <w:sz w:val="24"/>
          <w:szCs w:val="24"/>
        </w:rPr>
        <w:t>configural</w:t>
      </w:r>
      <w:proofErr w:type="spellEnd"/>
      <w:r>
        <w:rPr>
          <w:rFonts w:ascii="Times New Roman" w:hAnsi="Times New Roman" w:cs="Times New Roman"/>
          <w:sz w:val="24"/>
          <w:szCs w:val="24"/>
        </w:rPr>
        <w:t xml:space="preserve"> processing can only be built up over time, and this would be hindered by limiting exploration time.</w:t>
      </w:r>
    </w:p>
    <w:p w:rsidR="00086043" w:rsidRDefault="00086043" w:rsidP="00086043">
      <w:pPr>
        <w:rPr>
          <w:rFonts w:ascii="Times New Roman" w:hAnsi="Times New Roman" w:cs="Times New Roman"/>
          <w:sz w:val="24"/>
          <w:szCs w:val="24"/>
        </w:rPr>
      </w:pPr>
      <w:proofErr w:type="spellStart"/>
      <w:r>
        <w:rPr>
          <w:rFonts w:ascii="Times New Roman" w:hAnsi="Times New Roman" w:cs="Times New Roman"/>
          <w:sz w:val="24"/>
          <w:szCs w:val="24"/>
        </w:rPr>
        <w:t>Kilgour</w:t>
      </w:r>
      <w:proofErr w:type="spellEnd"/>
      <w:r>
        <w:rPr>
          <w:rFonts w:ascii="Times New Roman" w:hAnsi="Times New Roman" w:cs="Times New Roman"/>
          <w:sz w:val="24"/>
          <w:szCs w:val="24"/>
        </w:rPr>
        <w:t xml:space="preserve"> AR, Lederman SJ (2002) Face recognition by hand. Perception and Psychophysics 64(3): 339-352</w:t>
      </w:r>
    </w:p>
    <w:p w:rsidR="00086043" w:rsidRDefault="00086043" w:rsidP="00086043">
      <w:pPr>
        <w:rPr>
          <w:rFonts w:ascii="Times New Roman" w:hAnsi="Times New Roman" w:cs="Times New Roman"/>
          <w:sz w:val="24"/>
          <w:szCs w:val="24"/>
        </w:rPr>
      </w:pPr>
      <w:proofErr w:type="spellStart"/>
      <w:proofErr w:type="gramStart"/>
      <w:r>
        <w:rPr>
          <w:rFonts w:ascii="Times New Roman" w:hAnsi="Times New Roman" w:cs="Times New Roman"/>
          <w:sz w:val="24"/>
          <w:szCs w:val="24"/>
        </w:rPr>
        <w:t>Kilgour</w:t>
      </w:r>
      <w:proofErr w:type="spellEnd"/>
      <w:r>
        <w:rPr>
          <w:rFonts w:ascii="Times New Roman" w:hAnsi="Times New Roman" w:cs="Times New Roman"/>
          <w:sz w:val="24"/>
          <w:szCs w:val="24"/>
        </w:rPr>
        <w:t xml:space="preserve"> AR, Lederman SJ (2006) A </w:t>
      </w:r>
      <w:proofErr w:type="spellStart"/>
      <w:r>
        <w:rPr>
          <w:rFonts w:ascii="Times New Roman" w:hAnsi="Times New Roman" w:cs="Times New Roman"/>
          <w:sz w:val="24"/>
          <w:szCs w:val="24"/>
        </w:rPr>
        <w:t>haptic</w:t>
      </w:r>
      <w:proofErr w:type="spellEnd"/>
      <w:r>
        <w:rPr>
          <w:rFonts w:ascii="Times New Roman" w:hAnsi="Times New Roman" w:cs="Times New Roman"/>
          <w:sz w:val="24"/>
          <w:szCs w:val="24"/>
        </w:rPr>
        <w:t xml:space="preserve"> face-inversion effect.</w:t>
      </w:r>
      <w:proofErr w:type="gramEnd"/>
      <w:r>
        <w:rPr>
          <w:rFonts w:ascii="Times New Roman" w:hAnsi="Times New Roman" w:cs="Times New Roman"/>
          <w:sz w:val="24"/>
          <w:szCs w:val="24"/>
        </w:rPr>
        <w:t xml:space="preserve"> Perception 35: 921-931</w:t>
      </w:r>
    </w:p>
    <w:p w:rsidR="00086043" w:rsidRDefault="00086043" w:rsidP="00086043">
      <w:pPr>
        <w:rPr>
          <w:rFonts w:ascii="Times New Roman" w:hAnsi="Times New Roman" w:cs="Times New Roman"/>
          <w:sz w:val="24"/>
          <w:szCs w:val="24"/>
        </w:rPr>
      </w:pPr>
      <w:proofErr w:type="gramStart"/>
      <w:r>
        <w:rPr>
          <w:rFonts w:ascii="Times New Roman" w:hAnsi="Times New Roman" w:cs="Times New Roman"/>
          <w:sz w:val="24"/>
          <w:szCs w:val="24"/>
        </w:rPr>
        <w:t>Marks DF (1973) Visual imagery differences in the recall of pictures.</w:t>
      </w:r>
      <w:proofErr w:type="gramEnd"/>
      <w:r>
        <w:rPr>
          <w:rFonts w:ascii="Times New Roman" w:hAnsi="Times New Roman" w:cs="Times New Roman"/>
          <w:sz w:val="24"/>
          <w:szCs w:val="24"/>
        </w:rPr>
        <w:t xml:space="preserve"> British Journal of Psychology 64: 17-24</w:t>
      </w:r>
    </w:p>
    <w:p w:rsidR="00086043" w:rsidRDefault="00086043" w:rsidP="00086043">
      <w:pPr>
        <w:rPr>
          <w:rFonts w:ascii="Times New Roman" w:hAnsi="Times New Roman" w:cs="Times New Roman"/>
          <w:sz w:val="24"/>
          <w:szCs w:val="24"/>
        </w:rPr>
      </w:pPr>
    </w:p>
    <w:p w:rsidR="00086043" w:rsidRDefault="00086043" w:rsidP="00086043">
      <w:pPr>
        <w:rPr>
          <w:rFonts w:ascii="Times New Roman" w:hAnsi="Times New Roman" w:cs="Times New Roman"/>
          <w:sz w:val="24"/>
          <w:szCs w:val="24"/>
        </w:rPr>
      </w:pPr>
    </w:p>
    <w:p w:rsidR="00FC3C76" w:rsidRDefault="00FC3C76"/>
    <w:sectPr w:rsidR="00FC3C76" w:rsidSect="00FC3C76">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2047" w:rsidRDefault="008A2047" w:rsidP="00086043">
      <w:pPr>
        <w:spacing w:after="0" w:line="240" w:lineRule="auto"/>
      </w:pPr>
      <w:r>
        <w:separator/>
      </w:r>
    </w:p>
  </w:endnote>
  <w:endnote w:type="continuationSeparator" w:id="0">
    <w:p w:rsidR="008A2047" w:rsidRDefault="008A2047" w:rsidP="000860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91378"/>
      <w:docPartObj>
        <w:docPartGallery w:val="Page Numbers (Bottom of Page)"/>
        <w:docPartUnique/>
      </w:docPartObj>
    </w:sdtPr>
    <w:sdtContent>
      <w:p w:rsidR="00086043" w:rsidRDefault="00D75E50">
        <w:pPr>
          <w:pStyle w:val="Footer"/>
          <w:jc w:val="right"/>
        </w:pPr>
        <w:fldSimple w:instr=" PAGE   \* MERGEFORMAT ">
          <w:r w:rsidR="004F4BEE">
            <w:rPr>
              <w:noProof/>
            </w:rPr>
            <w:t>2</w:t>
          </w:r>
        </w:fldSimple>
      </w:p>
    </w:sdtContent>
  </w:sdt>
  <w:p w:rsidR="00086043" w:rsidRDefault="0008604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2047" w:rsidRDefault="008A2047" w:rsidP="00086043">
      <w:pPr>
        <w:spacing w:after="0" w:line="240" w:lineRule="auto"/>
      </w:pPr>
      <w:r>
        <w:separator/>
      </w:r>
    </w:p>
  </w:footnote>
  <w:footnote w:type="continuationSeparator" w:id="0">
    <w:p w:rsidR="008A2047" w:rsidRDefault="008A2047" w:rsidP="0008604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86043"/>
    <w:rsid w:val="00081977"/>
    <w:rsid w:val="00086043"/>
    <w:rsid w:val="004F4BEE"/>
    <w:rsid w:val="007834DA"/>
    <w:rsid w:val="008A2047"/>
    <w:rsid w:val="00D75E50"/>
    <w:rsid w:val="00FC3C7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6043"/>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8604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086043"/>
    <w:rPr>
      <w:rFonts w:eastAsiaTheme="minorEastAsia"/>
      <w:lang w:eastAsia="en-GB"/>
    </w:rPr>
  </w:style>
  <w:style w:type="paragraph" w:styleId="Footer">
    <w:name w:val="footer"/>
    <w:basedOn w:val="Normal"/>
    <w:link w:val="FooterChar"/>
    <w:uiPriority w:val="99"/>
    <w:unhideWhenUsed/>
    <w:rsid w:val="000860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6043"/>
    <w:rPr>
      <w:rFonts w:eastAsiaTheme="minorEastAsia"/>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880</Words>
  <Characters>5019</Characters>
  <Application>Microsoft Office Word</Application>
  <DocSecurity>0</DocSecurity>
  <Lines>41</Lines>
  <Paragraphs>11</Paragraphs>
  <ScaleCrop>false</ScaleCrop>
  <Company>University of Reading</Company>
  <LinksUpToDate>false</LinksUpToDate>
  <CharactersWithSpaces>5888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3</cp:revision>
  <dcterms:created xsi:type="dcterms:W3CDTF">2014-03-05T10:40:00Z</dcterms:created>
  <dcterms:modified xsi:type="dcterms:W3CDTF">2014-03-10T11:45:00Z</dcterms:modified>
</cp:coreProperties>
</file>