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3F96" w14:textId="342D197C" w:rsidR="00762EAE" w:rsidRPr="00762EAE" w:rsidRDefault="00762EAE" w:rsidP="00762EAE">
      <w:pPr>
        <w:pStyle w:val="Heading3"/>
        <w:spacing w:before="120" w:after="120" w:line="276" w:lineRule="auto"/>
        <w:rPr>
          <w:rFonts w:eastAsiaTheme="minorHAnsi" w:cstheme="minorBidi"/>
          <w:i w:val="0"/>
        </w:rPr>
      </w:pPr>
      <w:r w:rsidRPr="00762EAE">
        <w:rPr>
          <w:i w:val="0"/>
          <w:iCs/>
        </w:rPr>
        <w:t>Transcription Notation System for Orthographic Transcription (revised from Braun &amp; Clarke, 2013)</w:t>
      </w:r>
      <w:r w:rsidRPr="00762EAE">
        <w:rPr>
          <w:rFonts w:eastAsiaTheme="minorHAnsi" w:cstheme="minorBidi"/>
          <w:i w:val="0"/>
        </w:rPr>
        <w:fldChar w:fldCharType="begin"/>
      </w:r>
      <w:r w:rsidRPr="00762EAE">
        <w:rPr>
          <w:rFonts w:eastAsiaTheme="minorHAnsi" w:cstheme="minorBidi"/>
          <w:i w:val="0"/>
        </w:rPr>
        <w:instrText xml:space="preserve"> ADDIN EN.CITE &lt;EndNote&gt;&lt;Cite&gt;&lt;Author&gt;Jefferson&lt;/Author&gt;&lt;Year&gt;2004&lt;/Year&gt;&lt;RecNum&gt;4985&lt;/RecNum&gt;&lt;Prefix&gt;adapted from &lt;/Prefix&gt;&lt;DisplayText&gt;(adapted from Jefferson, 2004)&lt;/DisplayText&gt;&lt;record&gt;&lt;rec-number&gt;4985&lt;/rec-number&gt;&lt;foreign-keys&gt;&lt;key app="EN" db-id="v25xfwv0lxa9wte5rv8pf0xosws2eze0tttr"&gt;4985&lt;/key&gt;&lt;/foreign-keys&gt;&lt;ref-type name="Book Section"&gt;5&lt;/ref-type&gt;&lt;contributors&gt;&lt;authors&gt;&lt;author&gt;Jefferson, Gail&lt;/author&gt;&lt;/authors&gt;&lt;secondary-authors&gt;&lt;author&gt;Lerner, G. H.&lt;/author&gt;&lt;/secondary-authors&gt;&lt;/contributors&gt;&lt;titles&gt;&lt;title&gt;Glossary of transcript symbols with an introduction&lt;/title&gt;&lt;secondary-title&gt;Conversation analysis: Studies from the first generations&lt;/secondary-title&gt;&lt;/titles&gt;&lt;pages&gt;13-23&lt;/pages&gt;&lt;dates&gt;&lt;year&gt;2004&lt;/year&gt;&lt;/dates&gt;&lt;pub-location&gt;Philadelphia&lt;/pub-location&gt;&lt;publisher&gt;John Benjamins&lt;/publisher&gt;&lt;urls&gt;&lt;/urls&gt;&lt;/record&gt;&lt;/Cite&gt;&lt;/EndNote&gt;</w:instrText>
      </w:r>
      <w:r w:rsidRPr="00762EAE">
        <w:rPr>
          <w:rFonts w:eastAsiaTheme="minorHAnsi" w:cstheme="minorBidi"/>
          <w:i w:val="0"/>
        </w:rPr>
        <w:fldChar w:fldCharType="end"/>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6215"/>
      </w:tblGrid>
      <w:tr w:rsidR="00762EAE" w:rsidRPr="009238C5" w14:paraId="42641BAC" w14:textId="77777777" w:rsidTr="00762EAE">
        <w:tc>
          <w:tcPr>
            <w:tcW w:w="2806" w:type="dxa"/>
          </w:tcPr>
          <w:p w14:paraId="2F450F8C" w14:textId="77777777" w:rsidR="00762EAE" w:rsidRPr="009238C5" w:rsidRDefault="00762EAE" w:rsidP="00762EAE">
            <w:pPr>
              <w:spacing w:before="120" w:after="120" w:line="276" w:lineRule="auto"/>
              <w:rPr>
                <w:b/>
                <w:sz w:val="24"/>
                <w:szCs w:val="24"/>
              </w:rPr>
            </w:pPr>
            <w:r w:rsidRPr="009238C5">
              <w:rPr>
                <w:b/>
                <w:sz w:val="24"/>
                <w:szCs w:val="24"/>
              </w:rPr>
              <w:t>Feature</w:t>
            </w:r>
          </w:p>
        </w:tc>
        <w:tc>
          <w:tcPr>
            <w:tcW w:w="6215" w:type="dxa"/>
          </w:tcPr>
          <w:p w14:paraId="07722E3A" w14:textId="77777777" w:rsidR="00762EAE" w:rsidRPr="009238C5" w:rsidRDefault="00762EAE" w:rsidP="00762EAE">
            <w:pPr>
              <w:spacing w:before="120" w:after="120" w:line="276" w:lineRule="auto"/>
              <w:rPr>
                <w:b/>
                <w:sz w:val="24"/>
                <w:szCs w:val="24"/>
              </w:rPr>
            </w:pPr>
            <w:r w:rsidRPr="009238C5">
              <w:rPr>
                <w:b/>
                <w:sz w:val="24"/>
                <w:szCs w:val="24"/>
              </w:rPr>
              <w:t>Notation</w:t>
            </w:r>
          </w:p>
        </w:tc>
      </w:tr>
      <w:tr w:rsidR="00762EAE" w:rsidRPr="009238C5" w14:paraId="79BBD35F" w14:textId="77777777" w:rsidTr="00762EAE">
        <w:trPr>
          <w:trHeight w:val="1465"/>
        </w:trPr>
        <w:tc>
          <w:tcPr>
            <w:tcW w:w="2806" w:type="dxa"/>
          </w:tcPr>
          <w:p w14:paraId="15865C98" w14:textId="77777777" w:rsidR="00762EAE" w:rsidRPr="009238C5" w:rsidRDefault="00762EAE" w:rsidP="00762EAE">
            <w:pPr>
              <w:spacing w:before="120" w:after="120" w:line="276" w:lineRule="auto"/>
              <w:rPr>
                <w:sz w:val="24"/>
                <w:szCs w:val="24"/>
              </w:rPr>
            </w:pPr>
            <w:r w:rsidRPr="009238C5">
              <w:rPr>
                <w:sz w:val="24"/>
                <w:szCs w:val="24"/>
              </w:rPr>
              <w:t xml:space="preserve">The identity of the speaker </w:t>
            </w:r>
          </w:p>
        </w:tc>
        <w:tc>
          <w:tcPr>
            <w:tcW w:w="6215" w:type="dxa"/>
          </w:tcPr>
          <w:p w14:paraId="5E9AF527" w14:textId="3961CDDB" w:rsidR="00762EAE" w:rsidRPr="009238C5" w:rsidRDefault="00762EAE" w:rsidP="00762EAE">
            <w:pPr>
              <w:spacing w:before="120" w:after="120" w:line="276" w:lineRule="auto"/>
              <w:rPr>
                <w:sz w:val="24"/>
                <w:szCs w:val="24"/>
              </w:rPr>
            </w:pPr>
            <w:r w:rsidRPr="009238C5">
              <w:rPr>
                <w:sz w:val="24"/>
                <w:szCs w:val="24"/>
              </w:rPr>
              <w:t>Use the speaker’s name followed by a colon (e.g. Anna:   ) to signal the identity of a speaker or Moderator:/Mod: or Interviewer:/Int: for when the moderator/interviewer is speaking; it may also be appropriate to use the moderator/interviewer’s first name</w:t>
            </w:r>
            <w:r w:rsidR="004A7FD1">
              <w:rPr>
                <w:sz w:val="24"/>
                <w:szCs w:val="24"/>
              </w:rPr>
              <w:t>.</w:t>
            </w:r>
          </w:p>
        </w:tc>
      </w:tr>
      <w:tr w:rsidR="00762EAE" w:rsidRPr="009238C5" w14:paraId="0E2461FB" w14:textId="77777777" w:rsidTr="00762EAE">
        <w:tc>
          <w:tcPr>
            <w:tcW w:w="2806" w:type="dxa"/>
          </w:tcPr>
          <w:p w14:paraId="35A8ED88" w14:textId="77777777" w:rsidR="00762EAE" w:rsidRPr="009238C5" w:rsidRDefault="00762EAE" w:rsidP="00762EAE">
            <w:pPr>
              <w:spacing w:before="120" w:after="120" w:line="276" w:lineRule="auto"/>
              <w:rPr>
                <w:sz w:val="24"/>
                <w:szCs w:val="24"/>
              </w:rPr>
            </w:pPr>
            <w:r w:rsidRPr="009238C5">
              <w:rPr>
                <w:sz w:val="24"/>
                <w:szCs w:val="24"/>
              </w:rPr>
              <w:t>Turn-taking</w:t>
            </w:r>
          </w:p>
        </w:tc>
        <w:tc>
          <w:tcPr>
            <w:tcW w:w="6215" w:type="dxa"/>
          </w:tcPr>
          <w:p w14:paraId="2CAD445D" w14:textId="78231EED" w:rsidR="00762EAE" w:rsidRPr="009238C5" w:rsidRDefault="00762EAE" w:rsidP="00762EAE">
            <w:pPr>
              <w:spacing w:before="120" w:after="120" w:line="276" w:lineRule="auto"/>
              <w:rPr>
                <w:sz w:val="24"/>
                <w:szCs w:val="24"/>
              </w:rPr>
            </w:pPr>
            <w:r w:rsidRPr="009238C5">
              <w:rPr>
                <w:sz w:val="24"/>
                <w:szCs w:val="24"/>
              </w:rPr>
              <w:t>Start a new line every time a new speaker enters the conversation</w:t>
            </w:r>
            <w:r w:rsidR="004A7FD1">
              <w:rPr>
                <w:sz w:val="24"/>
                <w:szCs w:val="24"/>
              </w:rPr>
              <w:t>.</w:t>
            </w:r>
          </w:p>
        </w:tc>
      </w:tr>
      <w:tr w:rsidR="00762EAE" w:rsidRPr="009238C5" w14:paraId="68E914E7" w14:textId="77777777" w:rsidTr="00762EAE">
        <w:tc>
          <w:tcPr>
            <w:tcW w:w="2806" w:type="dxa"/>
          </w:tcPr>
          <w:p w14:paraId="24CF8485" w14:textId="77777777" w:rsidR="00762EAE" w:rsidRPr="009238C5" w:rsidRDefault="00762EAE" w:rsidP="00762EAE">
            <w:pPr>
              <w:spacing w:before="120" w:after="120" w:line="276" w:lineRule="auto"/>
              <w:rPr>
                <w:sz w:val="24"/>
                <w:szCs w:val="24"/>
              </w:rPr>
            </w:pPr>
            <w:r w:rsidRPr="009238C5">
              <w:rPr>
                <w:sz w:val="24"/>
                <w:szCs w:val="24"/>
              </w:rPr>
              <w:t>Laughing, coughing etc.</w:t>
            </w:r>
          </w:p>
        </w:tc>
        <w:tc>
          <w:tcPr>
            <w:tcW w:w="6215" w:type="dxa"/>
          </w:tcPr>
          <w:p w14:paraId="481BADD8" w14:textId="135EDD70" w:rsidR="00762EAE" w:rsidRPr="009238C5" w:rsidRDefault="00762EAE" w:rsidP="00762EAE">
            <w:pPr>
              <w:spacing w:before="120" w:after="120" w:line="276" w:lineRule="auto"/>
              <w:rPr>
                <w:sz w:val="24"/>
                <w:szCs w:val="24"/>
              </w:rPr>
            </w:pPr>
            <w:r w:rsidRPr="009238C5">
              <w:rPr>
                <w:sz w:val="24"/>
                <w:szCs w:val="24"/>
              </w:rPr>
              <w:t>((laughs)) and ((coughs)) signals a speaker laughing or coughing during a turn of talk; ((General laughter)) signals multiple speakers laughing at once and should be appear on a separate line (to signal that no one speaker ‘owns’ the laughter)</w:t>
            </w:r>
            <w:r w:rsidR="004A7FD1">
              <w:rPr>
                <w:sz w:val="24"/>
                <w:szCs w:val="24"/>
              </w:rPr>
              <w:t>.</w:t>
            </w:r>
          </w:p>
        </w:tc>
      </w:tr>
      <w:tr w:rsidR="00762EAE" w:rsidRPr="009238C5" w14:paraId="0EAC53E1" w14:textId="77777777" w:rsidTr="00762EAE">
        <w:tc>
          <w:tcPr>
            <w:tcW w:w="2806" w:type="dxa"/>
          </w:tcPr>
          <w:p w14:paraId="50D3CF2A" w14:textId="77777777" w:rsidR="00762EAE" w:rsidRPr="009238C5" w:rsidRDefault="00762EAE" w:rsidP="00762EAE">
            <w:pPr>
              <w:spacing w:before="120" w:after="120" w:line="276" w:lineRule="auto"/>
              <w:rPr>
                <w:sz w:val="24"/>
                <w:szCs w:val="24"/>
              </w:rPr>
            </w:pPr>
            <w:r w:rsidRPr="009238C5">
              <w:rPr>
                <w:sz w:val="24"/>
                <w:szCs w:val="24"/>
              </w:rPr>
              <w:t>Pausing</w:t>
            </w:r>
          </w:p>
        </w:tc>
        <w:tc>
          <w:tcPr>
            <w:tcW w:w="6215" w:type="dxa"/>
          </w:tcPr>
          <w:p w14:paraId="68BF51A7" w14:textId="20C07BEC" w:rsidR="00762EAE" w:rsidRPr="009238C5" w:rsidRDefault="00762EAE" w:rsidP="00762EAE">
            <w:pPr>
              <w:spacing w:before="120" w:after="120" w:line="276" w:lineRule="auto"/>
              <w:rPr>
                <w:sz w:val="24"/>
                <w:szCs w:val="24"/>
              </w:rPr>
            </w:pPr>
            <w:r w:rsidRPr="009238C5">
              <w:rPr>
                <w:sz w:val="24"/>
                <w:szCs w:val="24"/>
              </w:rPr>
              <w:t xml:space="preserve">((pause)) signals a significant pause (i.e. a few seconds or more; precise timings of pauses </w:t>
            </w:r>
            <w:r>
              <w:rPr>
                <w:sz w:val="24"/>
                <w:szCs w:val="24"/>
              </w:rPr>
              <w:t>are</w:t>
            </w:r>
            <w:r w:rsidRPr="009238C5">
              <w:rPr>
                <w:sz w:val="24"/>
                <w:szCs w:val="24"/>
              </w:rPr>
              <w:t xml:space="preserve"> not necessary); can also use (.) to signal a short pause (a second or less) or ((long pause)) to signal a much longer pause</w:t>
            </w:r>
            <w:r w:rsidR="004A7FD1">
              <w:rPr>
                <w:sz w:val="24"/>
                <w:szCs w:val="24"/>
              </w:rPr>
              <w:t>.</w:t>
            </w:r>
          </w:p>
        </w:tc>
      </w:tr>
      <w:tr w:rsidR="00762EAE" w:rsidRPr="009238C5" w14:paraId="4E94F060" w14:textId="77777777" w:rsidTr="00762EAE">
        <w:tc>
          <w:tcPr>
            <w:tcW w:w="2806" w:type="dxa"/>
          </w:tcPr>
          <w:p w14:paraId="041A9AE9" w14:textId="0E3C5443" w:rsidR="00762EAE" w:rsidRPr="009238C5" w:rsidRDefault="00762EAE" w:rsidP="00762EAE">
            <w:pPr>
              <w:spacing w:before="120" w:after="120" w:line="276" w:lineRule="auto"/>
              <w:rPr>
                <w:sz w:val="24"/>
                <w:szCs w:val="24"/>
              </w:rPr>
            </w:pPr>
            <w:r w:rsidRPr="009238C5">
              <w:rPr>
                <w:sz w:val="24"/>
                <w:szCs w:val="24"/>
              </w:rPr>
              <w:t>Spoken abbreviations (e.g. TV for television; WHO for World Health Organisation)</w:t>
            </w:r>
          </w:p>
        </w:tc>
        <w:tc>
          <w:tcPr>
            <w:tcW w:w="6215" w:type="dxa"/>
          </w:tcPr>
          <w:p w14:paraId="0BB58AA7" w14:textId="77777777" w:rsidR="00762EAE" w:rsidRPr="009238C5" w:rsidRDefault="00762EAE" w:rsidP="00762EAE">
            <w:pPr>
              <w:spacing w:before="120" w:after="120" w:line="276" w:lineRule="auto"/>
              <w:rPr>
                <w:sz w:val="24"/>
                <w:szCs w:val="24"/>
              </w:rPr>
            </w:pPr>
            <w:r w:rsidRPr="009238C5">
              <w:rPr>
                <w:sz w:val="24"/>
                <w:szCs w:val="24"/>
              </w:rPr>
              <w:t>If someone speaks an abbreviation then use that abbreviation (e.g. TV), but do not abbreviate unless a speaker does so</w:t>
            </w:r>
          </w:p>
        </w:tc>
      </w:tr>
      <w:tr w:rsidR="00762EAE" w:rsidRPr="009238C5" w14:paraId="540E0712" w14:textId="77777777" w:rsidTr="00762EAE">
        <w:tc>
          <w:tcPr>
            <w:tcW w:w="2806" w:type="dxa"/>
          </w:tcPr>
          <w:p w14:paraId="42D66632" w14:textId="77777777" w:rsidR="00762EAE" w:rsidRPr="009238C5" w:rsidRDefault="00762EAE" w:rsidP="00762EAE">
            <w:pPr>
              <w:spacing w:before="120" w:after="120" w:line="276" w:lineRule="auto"/>
              <w:rPr>
                <w:sz w:val="24"/>
                <w:szCs w:val="24"/>
              </w:rPr>
            </w:pPr>
            <w:r w:rsidRPr="009238C5">
              <w:rPr>
                <w:sz w:val="24"/>
                <w:szCs w:val="24"/>
              </w:rPr>
              <w:t>Overlapping speech</w:t>
            </w:r>
          </w:p>
        </w:tc>
        <w:tc>
          <w:tcPr>
            <w:tcW w:w="6215" w:type="dxa"/>
          </w:tcPr>
          <w:p w14:paraId="361B6568" w14:textId="77777777" w:rsidR="00762EAE" w:rsidRPr="009238C5" w:rsidRDefault="00762EAE" w:rsidP="00762EAE">
            <w:pPr>
              <w:spacing w:before="120" w:after="120" w:line="276" w:lineRule="auto"/>
              <w:rPr>
                <w:sz w:val="24"/>
                <w:szCs w:val="24"/>
              </w:rPr>
            </w:pPr>
            <w:r w:rsidRPr="009238C5">
              <w:rPr>
                <w:sz w:val="24"/>
                <w:szCs w:val="24"/>
              </w:rPr>
              <w:t>Type ((in overlap)) before the start of the overlapping speech</w:t>
            </w:r>
          </w:p>
        </w:tc>
      </w:tr>
      <w:tr w:rsidR="00762EAE" w:rsidRPr="009238C5" w14:paraId="7656418F" w14:textId="77777777" w:rsidTr="00762EAE">
        <w:tc>
          <w:tcPr>
            <w:tcW w:w="2806" w:type="dxa"/>
          </w:tcPr>
          <w:p w14:paraId="39321189" w14:textId="77777777" w:rsidR="00762EAE" w:rsidRPr="009238C5" w:rsidRDefault="00762EAE" w:rsidP="00762EAE">
            <w:pPr>
              <w:spacing w:before="120" w:after="120" w:line="276" w:lineRule="auto"/>
              <w:rPr>
                <w:sz w:val="24"/>
                <w:szCs w:val="24"/>
              </w:rPr>
            </w:pPr>
            <w:r w:rsidRPr="009238C5">
              <w:rPr>
                <w:sz w:val="24"/>
                <w:szCs w:val="24"/>
              </w:rPr>
              <w:t>Inaudible speech</w:t>
            </w:r>
          </w:p>
        </w:tc>
        <w:tc>
          <w:tcPr>
            <w:tcW w:w="6215" w:type="dxa"/>
          </w:tcPr>
          <w:p w14:paraId="50D77FFF" w14:textId="022A02F7" w:rsidR="00762EAE" w:rsidRPr="009238C5" w:rsidRDefault="00762EAE" w:rsidP="00762EAE">
            <w:pPr>
              <w:spacing w:before="120" w:after="120" w:line="276" w:lineRule="auto"/>
              <w:rPr>
                <w:sz w:val="24"/>
                <w:szCs w:val="24"/>
              </w:rPr>
            </w:pPr>
            <w:r w:rsidRPr="009238C5">
              <w:rPr>
                <w:sz w:val="24"/>
                <w:szCs w:val="24"/>
              </w:rPr>
              <w:t>((inaudible)) for speech and sounds that are completely inaudible; when you can hear something but you’re not sure if it’s correct use (ways of life) to signal transcriber doubt or (ways of life/married wife) to signal multiple potential hearings</w:t>
            </w:r>
            <w:r w:rsidR="004A7FD1">
              <w:rPr>
                <w:sz w:val="24"/>
                <w:szCs w:val="24"/>
              </w:rPr>
              <w:t>.</w:t>
            </w:r>
          </w:p>
        </w:tc>
      </w:tr>
      <w:tr w:rsidR="00762EAE" w:rsidRPr="009238C5" w14:paraId="0FB232D9" w14:textId="77777777" w:rsidTr="00762EAE">
        <w:tc>
          <w:tcPr>
            <w:tcW w:w="2806" w:type="dxa"/>
          </w:tcPr>
          <w:p w14:paraId="661E08AD" w14:textId="77777777" w:rsidR="00762EAE" w:rsidRPr="009238C5" w:rsidRDefault="00762EAE" w:rsidP="00762EAE">
            <w:pPr>
              <w:spacing w:before="120" w:after="120" w:line="276" w:lineRule="auto"/>
              <w:rPr>
                <w:sz w:val="24"/>
                <w:szCs w:val="24"/>
              </w:rPr>
            </w:pPr>
            <w:r w:rsidRPr="009238C5">
              <w:rPr>
                <w:sz w:val="24"/>
                <w:szCs w:val="24"/>
              </w:rPr>
              <w:t>Uncertainty about who is speaking</w:t>
            </w:r>
          </w:p>
        </w:tc>
        <w:tc>
          <w:tcPr>
            <w:tcW w:w="6215" w:type="dxa"/>
          </w:tcPr>
          <w:p w14:paraId="293FCD42" w14:textId="7F64A403" w:rsidR="00762EAE" w:rsidRPr="009238C5" w:rsidRDefault="00762EAE" w:rsidP="00762EAE">
            <w:pPr>
              <w:spacing w:before="120" w:after="120" w:line="276" w:lineRule="auto"/>
              <w:rPr>
                <w:sz w:val="24"/>
                <w:szCs w:val="24"/>
              </w:rPr>
            </w:pPr>
            <w:r w:rsidRPr="009238C5">
              <w:rPr>
                <w:sz w:val="24"/>
                <w:szCs w:val="24"/>
              </w:rPr>
              <w:t>? to signal uncertainty about the speaker</w:t>
            </w:r>
            <w:r w:rsidR="004A7FD1">
              <w:rPr>
                <w:sz w:val="24"/>
                <w:szCs w:val="24"/>
              </w:rPr>
              <w:t>,</w:t>
            </w:r>
            <w:r w:rsidRPr="009238C5">
              <w:rPr>
                <w:sz w:val="24"/>
                <w:szCs w:val="24"/>
              </w:rPr>
              <w:t xml:space="preserve"> or name </w:t>
            </w:r>
            <w:r w:rsidRPr="00762EAE">
              <w:rPr>
                <w:sz w:val="24"/>
                <w:szCs w:val="24"/>
              </w:rPr>
              <w:t>followed by a question mark (e.g</w:t>
            </w:r>
            <w:r w:rsidRPr="009238C5">
              <w:rPr>
                <w:sz w:val="24"/>
                <w:szCs w:val="24"/>
              </w:rPr>
              <w:t>. Judy?) to signal your best guess</w:t>
            </w:r>
            <w:r w:rsidR="004A7FD1">
              <w:rPr>
                <w:sz w:val="24"/>
                <w:szCs w:val="24"/>
              </w:rPr>
              <w:t>. O</w:t>
            </w:r>
            <w:r w:rsidR="004A7FD1" w:rsidRPr="009238C5">
              <w:rPr>
                <w:sz w:val="24"/>
                <w:szCs w:val="24"/>
              </w:rPr>
              <w:t xml:space="preserve">r, if you can only identify the </w:t>
            </w:r>
            <w:r w:rsidR="004A7FD1" w:rsidRPr="00762EAE">
              <w:rPr>
                <w:sz w:val="24"/>
                <w:szCs w:val="24"/>
              </w:rPr>
              <w:t xml:space="preserve">sex/gender of the speaker, F? or M? to signal that the speaker is a woman or a man, but be </w:t>
            </w:r>
            <w:r w:rsidR="004A7FD1" w:rsidRPr="00762EAE">
              <w:rPr>
                <w:sz w:val="24"/>
                <w:szCs w:val="24"/>
              </w:rPr>
              <w:lastRenderedPageBreak/>
              <w:t>mindful that gender isn’t always easily readable from a person’s voice</w:t>
            </w:r>
            <w:r w:rsidR="004A7FD1">
              <w:rPr>
                <w:sz w:val="24"/>
                <w:szCs w:val="24"/>
              </w:rPr>
              <w:t>.</w:t>
            </w:r>
          </w:p>
        </w:tc>
      </w:tr>
      <w:tr w:rsidR="00762EAE" w:rsidRPr="009238C5" w14:paraId="2AF1FAF0" w14:textId="77777777" w:rsidTr="00762EAE">
        <w:tc>
          <w:tcPr>
            <w:tcW w:w="2806" w:type="dxa"/>
          </w:tcPr>
          <w:p w14:paraId="42556874" w14:textId="77777777" w:rsidR="00762EAE" w:rsidRPr="009238C5" w:rsidRDefault="00762EAE" w:rsidP="00762EAE">
            <w:pPr>
              <w:spacing w:before="120" w:after="120" w:line="276" w:lineRule="auto"/>
              <w:rPr>
                <w:sz w:val="24"/>
                <w:szCs w:val="24"/>
              </w:rPr>
            </w:pPr>
            <w:r w:rsidRPr="009238C5">
              <w:rPr>
                <w:sz w:val="24"/>
                <w:szCs w:val="24"/>
              </w:rPr>
              <w:lastRenderedPageBreak/>
              <w:t>Non-verbal utterances</w:t>
            </w:r>
          </w:p>
        </w:tc>
        <w:tc>
          <w:tcPr>
            <w:tcW w:w="6215" w:type="dxa"/>
          </w:tcPr>
          <w:p w14:paraId="6194F7C4" w14:textId="592A38DD" w:rsidR="00762EAE" w:rsidRPr="009238C5" w:rsidRDefault="00762EAE" w:rsidP="00762EAE">
            <w:pPr>
              <w:spacing w:before="120" w:after="120" w:line="276" w:lineRule="auto"/>
              <w:rPr>
                <w:sz w:val="24"/>
                <w:szCs w:val="24"/>
              </w:rPr>
            </w:pPr>
            <w:r w:rsidRPr="009238C5">
              <w:rPr>
                <w:sz w:val="24"/>
                <w:szCs w:val="24"/>
              </w:rPr>
              <w:t>Render phonetically and consistently</w:t>
            </w:r>
            <w:r w:rsidR="004A7FD1">
              <w:rPr>
                <w:sz w:val="24"/>
                <w:szCs w:val="24"/>
              </w:rPr>
              <w:t xml:space="preserve">. For example, </w:t>
            </w:r>
            <w:r w:rsidRPr="009238C5">
              <w:rPr>
                <w:sz w:val="24"/>
                <w:szCs w:val="24"/>
              </w:rPr>
              <w:t>common non-verbal sounds uttered by English as a first language speakers include ‘erm’, ‘er’, ‘mm’, ‘</w:t>
            </w:r>
            <w:proofErr w:type="spellStart"/>
            <w:r w:rsidRPr="009238C5">
              <w:rPr>
                <w:sz w:val="24"/>
                <w:szCs w:val="24"/>
              </w:rPr>
              <w:t>mmhm</w:t>
            </w:r>
            <w:proofErr w:type="spellEnd"/>
            <w:r w:rsidRPr="009238C5">
              <w:rPr>
                <w:sz w:val="24"/>
                <w:szCs w:val="24"/>
              </w:rPr>
              <w:t>’</w:t>
            </w:r>
            <w:r w:rsidR="004A7FD1">
              <w:rPr>
                <w:sz w:val="24"/>
                <w:szCs w:val="24"/>
              </w:rPr>
              <w:t>.</w:t>
            </w:r>
          </w:p>
        </w:tc>
      </w:tr>
      <w:tr w:rsidR="00762EAE" w:rsidRPr="009238C5" w14:paraId="0C0D6A79" w14:textId="77777777" w:rsidTr="00762EAE">
        <w:tc>
          <w:tcPr>
            <w:tcW w:w="2806" w:type="dxa"/>
          </w:tcPr>
          <w:p w14:paraId="20348FC6" w14:textId="77777777" w:rsidR="00762EAE" w:rsidRPr="009238C5" w:rsidRDefault="00762EAE" w:rsidP="00762EAE">
            <w:pPr>
              <w:spacing w:before="120" w:after="120" w:line="276" w:lineRule="auto"/>
              <w:rPr>
                <w:sz w:val="24"/>
                <w:szCs w:val="24"/>
              </w:rPr>
            </w:pPr>
            <w:r w:rsidRPr="009238C5">
              <w:rPr>
                <w:sz w:val="24"/>
                <w:szCs w:val="24"/>
              </w:rPr>
              <w:t>Spoken numbers</w:t>
            </w:r>
          </w:p>
        </w:tc>
        <w:tc>
          <w:tcPr>
            <w:tcW w:w="6215" w:type="dxa"/>
          </w:tcPr>
          <w:p w14:paraId="1B7C5674" w14:textId="4EFB50E6" w:rsidR="00762EAE" w:rsidRPr="009238C5" w:rsidRDefault="00762EAE" w:rsidP="00762EAE">
            <w:pPr>
              <w:spacing w:before="120" w:after="120" w:line="276" w:lineRule="auto"/>
              <w:rPr>
                <w:sz w:val="24"/>
                <w:szCs w:val="24"/>
              </w:rPr>
            </w:pPr>
            <w:r w:rsidRPr="009238C5">
              <w:rPr>
                <w:sz w:val="24"/>
                <w:szCs w:val="24"/>
              </w:rPr>
              <w:t>Spell out all numbers</w:t>
            </w:r>
            <w:r w:rsidR="004A7FD1">
              <w:rPr>
                <w:sz w:val="24"/>
                <w:szCs w:val="24"/>
              </w:rPr>
              <w:t>, a</w:t>
            </w:r>
            <w:r w:rsidRPr="009238C5">
              <w:rPr>
                <w:sz w:val="24"/>
                <w:szCs w:val="24"/>
              </w:rPr>
              <w:t>nd be mindful of the difference between ‘a hundred’ and ‘one hundred’</w:t>
            </w:r>
            <w:r w:rsidR="004A7FD1">
              <w:rPr>
                <w:sz w:val="24"/>
                <w:szCs w:val="24"/>
              </w:rPr>
              <w:t>.</w:t>
            </w:r>
          </w:p>
        </w:tc>
      </w:tr>
      <w:tr w:rsidR="00762EAE" w:rsidRPr="009238C5" w14:paraId="3CE8DBAE" w14:textId="77777777" w:rsidTr="00762EAE">
        <w:tc>
          <w:tcPr>
            <w:tcW w:w="2806" w:type="dxa"/>
          </w:tcPr>
          <w:p w14:paraId="79BA5E9F" w14:textId="77777777" w:rsidR="00762EAE" w:rsidRPr="009238C5" w:rsidRDefault="00762EAE" w:rsidP="00762EAE">
            <w:pPr>
              <w:spacing w:before="120" w:after="120" w:line="276" w:lineRule="auto"/>
              <w:rPr>
                <w:sz w:val="24"/>
                <w:szCs w:val="24"/>
              </w:rPr>
            </w:pPr>
            <w:r w:rsidRPr="009238C5">
              <w:rPr>
                <w:sz w:val="24"/>
                <w:szCs w:val="24"/>
              </w:rPr>
              <w:t>Do I use punctuation?</w:t>
            </w:r>
          </w:p>
        </w:tc>
        <w:tc>
          <w:tcPr>
            <w:tcW w:w="6215" w:type="dxa"/>
          </w:tcPr>
          <w:p w14:paraId="7DCD0294" w14:textId="29F048EA" w:rsidR="00762EAE" w:rsidRPr="009238C5" w:rsidRDefault="00762EAE" w:rsidP="00762EAE">
            <w:pPr>
              <w:spacing w:before="120" w:after="120" w:line="276" w:lineRule="auto"/>
              <w:rPr>
                <w:sz w:val="24"/>
                <w:szCs w:val="24"/>
              </w:rPr>
            </w:pPr>
            <w:r w:rsidRPr="009238C5">
              <w:rPr>
                <w:sz w:val="24"/>
                <w:szCs w:val="24"/>
              </w:rPr>
              <w:t>It is common to use punctuation to signal some features of spoken language</w:t>
            </w:r>
            <w:r w:rsidR="004A7FD1">
              <w:rPr>
                <w:sz w:val="24"/>
                <w:szCs w:val="24"/>
              </w:rPr>
              <w:t>,</w:t>
            </w:r>
            <w:r w:rsidRPr="009238C5">
              <w:rPr>
                <w:sz w:val="24"/>
                <w:szCs w:val="24"/>
              </w:rPr>
              <w:t xml:space="preserve"> such as using a question mark to signal the rising intonation of a question and a comma to signal the slight pause/emphasis of continuing intonation in speech</w:t>
            </w:r>
            <w:r w:rsidR="004A7FD1">
              <w:rPr>
                <w:sz w:val="24"/>
                <w:szCs w:val="24"/>
              </w:rPr>
              <w:t>. H</w:t>
            </w:r>
            <w:r w:rsidRPr="009238C5">
              <w:rPr>
                <w:sz w:val="24"/>
                <w:szCs w:val="24"/>
              </w:rPr>
              <w:t>owever</w:t>
            </w:r>
            <w:r>
              <w:rPr>
                <w:sz w:val="24"/>
                <w:szCs w:val="24"/>
              </w:rPr>
              <w:t>,</w:t>
            </w:r>
            <w:r w:rsidRPr="009238C5">
              <w:rPr>
                <w:sz w:val="24"/>
                <w:szCs w:val="24"/>
              </w:rPr>
              <w:t xml:space="preserve"> adding punctuation to a transcript is not straightforward and it is important to be mindful of the ways in which adding punctuation can change the meaning of an extract of data. Equally, punctuation enhances the readability of spoken data, especially extracts quoted in written reports</w:t>
            </w:r>
            <w:r w:rsidR="004A7FD1">
              <w:rPr>
                <w:sz w:val="24"/>
                <w:szCs w:val="24"/>
              </w:rPr>
              <w:t>.</w:t>
            </w:r>
          </w:p>
        </w:tc>
      </w:tr>
      <w:tr w:rsidR="00762EAE" w:rsidRPr="009238C5" w14:paraId="1EBE8C15" w14:textId="77777777" w:rsidTr="00762EAE">
        <w:tc>
          <w:tcPr>
            <w:tcW w:w="2806" w:type="dxa"/>
          </w:tcPr>
          <w:p w14:paraId="4C407C0D" w14:textId="77777777" w:rsidR="00762EAE" w:rsidRPr="009238C5" w:rsidRDefault="00762EAE" w:rsidP="00762EAE">
            <w:pPr>
              <w:spacing w:before="120" w:after="120" w:line="276" w:lineRule="auto"/>
              <w:rPr>
                <w:sz w:val="24"/>
                <w:szCs w:val="24"/>
              </w:rPr>
            </w:pPr>
            <w:r w:rsidRPr="009238C5">
              <w:rPr>
                <w:sz w:val="24"/>
                <w:szCs w:val="24"/>
              </w:rPr>
              <w:t>Cut off speech and sounds</w:t>
            </w:r>
          </w:p>
        </w:tc>
        <w:tc>
          <w:tcPr>
            <w:tcW w:w="6215" w:type="dxa"/>
          </w:tcPr>
          <w:p w14:paraId="60E3D065" w14:textId="395FC408" w:rsidR="00762EAE" w:rsidRPr="009238C5" w:rsidRDefault="00762EAE" w:rsidP="00762EAE">
            <w:pPr>
              <w:spacing w:before="120" w:after="120" w:line="276" w:lineRule="auto"/>
              <w:rPr>
                <w:sz w:val="24"/>
                <w:szCs w:val="24"/>
              </w:rPr>
            </w:pPr>
            <w:r w:rsidRPr="009238C5">
              <w:rPr>
                <w:sz w:val="24"/>
                <w:szCs w:val="24"/>
              </w:rPr>
              <w:t>This level of detail is not necessary for most experiential forms of analysis, although it can be useful to signal moments when participants are struggling to articulate their thoughts, feelings etc. and cut off speech can be a part of this</w:t>
            </w:r>
            <w:r w:rsidR="004A7FD1">
              <w:rPr>
                <w:sz w:val="24"/>
                <w:szCs w:val="24"/>
              </w:rPr>
              <w:t>. T</w:t>
            </w:r>
            <w:r w:rsidRPr="009238C5">
              <w:rPr>
                <w:sz w:val="24"/>
                <w:szCs w:val="24"/>
              </w:rPr>
              <w:t>o signal cut off speech</w:t>
            </w:r>
            <w:r w:rsidR="004A7FD1">
              <w:rPr>
                <w:sz w:val="24"/>
                <w:szCs w:val="24"/>
              </w:rPr>
              <w:t>,</w:t>
            </w:r>
            <w:r w:rsidRPr="009238C5">
              <w:rPr>
                <w:sz w:val="24"/>
                <w:szCs w:val="24"/>
              </w:rPr>
              <w:t xml:space="preserve"> type out the sounds you can hear then add a dash (e.g. </w:t>
            </w:r>
            <w:proofErr w:type="spellStart"/>
            <w:r w:rsidRPr="009238C5">
              <w:rPr>
                <w:sz w:val="24"/>
                <w:szCs w:val="24"/>
              </w:rPr>
              <w:t>wor</w:t>
            </w:r>
            <w:proofErr w:type="spellEnd"/>
            <w:r w:rsidRPr="009238C5">
              <w:rPr>
                <w:sz w:val="24"/>
                <w:szCs w:val="24"/>
              </w:rPr>
              <w:t>-)</w:t>
            </w:r>
            <w:r w:rsidR="004A7FD1">
              <w:rPr>
                <w:sz w:val="24"/>
                <w:szCs w:val="24"/>
              </w:rPr>
              <w:t>.</w:t>
            </w:r>
          </w:p>
        </w:tc>
      </w:tr>
      <w:tr w:rsidR="00762EAE" w:rsidRPr="009238C5" w14:paraId="6DFE590A" w14:textId="77777777" w:rsidTr="00762EAE">
        <w:tc>
          <w:tcPr>
            <w:tcW w:w="2806" w:type="dxa"/>
          </w:tcPr>
          <w:p w14:paraId="0F10CFDB" w14:textId="77777777" w:rsidR="00762EAE" w:rsidRPr="009238C5" w:rsidRDefault="00762EAE" w:rsidP="00762EAE">
            <w:pPr>
              <w:spacing w:before="120" w:after="120" w:line="276" w:lineRule="auto"/>
              <w:rPr>
                <w:sz w:val="24"/>
                <w:szCs w:val="24"/>
              </w:rPr>
            </w:pPr>
            <w:r w:rsidRPr="009238C5">
              <w:rPr>
                <w:sz w:val="24"/>
                <w:szCs w:val="24"/>
              </w:rPr>
              <w:t>Emphasis on particular words</w:t>
            </w:r>
          </w:p>
        </w:tc>
        <w:tc>
          <w:tcPr>
            <w:tcW w:w="6215" w:type="dxa"/>
          </w:tcPr>
          <w:p w14:paraId="1302D050" w14:textId="434E9966" w:rsidR="00762EAE" w:rsidRPr="009238C5" w:rsidRDefault="00762EAE" w:rsidP="00762EAE">
            <w:pPr>
              <w:spacing w:before="120" w:after="120" w:line="276" w:lineRule="auto"/>
              <w:rPr>
                <w:sz w:val="24"/>
                <w:szCs w:val="24"/>
              </w:rPr>
            </w:pPr>
            <w:r w:rsidRPr="009238C5">
              <w:rPr>
                <w:sz w:val="24"/>
                <w:szCs w:val="24"/>
              </w:rPr>
              <w:t xml:space="preserve">Again, this level of detail is not necessary for most experiential forms of analysis, although it can be useful to signal words or sounds that are particularly emphasised by underlining (e.g. </w:t>
            </w:r>
            <w:r w:rsidRPr="009238C5">
              <w:rPr>
                <w:sz w:val="24"/>
                <w:szCs w:val="24"/>
                <w:u w:val="single"/>
              </w:rPr>
              <w:t>word</w:t>
            </w:r>
            <w:r w:rsidRPr="009238C5">
              <w:rPr>
                <w:sz w:val="24"/>
                <w:szCs w:val="24"/>
              </w:rPr>
              <w:t>)</w:t>
            </w:r>
            <w:r w:rsidR="004A7FD1">
              <w:rPr>
                <w:sz w:val="24"/>
                <w:szCs w:val="24"/>
              </w:rPr>
              <w:t>.</w:t>
            </w:r>
          </w:p>
        </w:tc>
      </w:tr>
      <w:tr w:rsidR="00762EAE" w:rsidRPr="009238C5" w14:paraId="7ECBA078" w14:textId="77777777" w:rsidTr="00762EAE">
        <w:tc>
          <w:tcPr>
            <w:tcW w:w="2806" w:type="dxa"/>
          </w:tcPr>
          <w:p w14:paraId="51AAB584" w14:textId="77777777" w:rsidR="00762EAE" w:rsidRPr="009238C5" w:rsidRDefault="00762EAE" w:rsidP="00762EAE">
            <w:pPr>
              <w:spacing w:before="120" w:after="120" w:line="276" w:lineRule="auto"/>
              <w:rPr>
                <w:sz w:val="24"/>
                <w:szCs w:val="24"/>
              </w:rPr>
            </w:pPr>
            <w:r w:rsidRPr="009238C5">
              <w:rPr>
                <w:sz w:val="24"/>
                <w:szCs w:val="24"/>
              </w:rPr>
              <w:t>Reported speech</w:t>
            </w:r>
          </w:p>
        </w:tc>
        <w:tc>
          <w:tcPr>
            <w:tcW w:w="6215" w:type="dxa"/>
          </w:tcPr>
          <w:p w14:paraId="1D025D8D" w14:textId="3C5FD3D6" w:rsidR="00762EAE" w:rsidRPr="009238C5" w:rsidRDefault="00762EAE" w:rsidP="00762EAE">
            <w:pPr>
              <w:spacing w:before="120" w:after="120" w:line="276" w:lineRule="auto"/>
              <w:rPr>
                <w:sz w:val="24"/>
                <w:szCs w:val="24"/>
              </w:rPr>
            </w:pPr>
            <w:r w:rsidRPr="009238C5">
              <w:rPr>
                <w:sz w:val="24"/>
                <w:szCs w:val="24"/>
              </w:rPr>
              <w:t xml:space="preserve">When a speaker reports the speech (or thoughts) of another person (or reports their own speech in the past) signal this with the use of inverted commas around the reported speech (e.g. </w:t>
            </w:r>
            <w:r w:rsidR="004A7FD1">
              <w:rPr>
                <w:sz w:val="24"/>
                <w:szCs w:val="24"/>
              </w:rPr>
              <w:t>“</w:t>
            </w:r>
            <w:r w:rsidRPr="009238C5">
              <w:rPr>
                <w:sz w:val="24"/>
                <w:szCs w:val="24"/>
              </w:rPr>
              <w:t>and she said ‘I think your bum does look big in that dress’ and I said ‘thanks a bunch’…</w:t>
            </w:r>
            <w:r w:rsidR="004A7FD1">
              <w:rPr>
                <w:sz w:val="24"/>
                <w:szCs w:val="24"/>
              </w:rPr>
              <w:t>”</w:t>
            </w:r>
            <w:r w:rsidRPr="009238C5">
              <w:rPr>
                <w:sz w:val="24"/>
                <w:szCs w:val="24"/>
              </w:rPr>
              <w:t>)</w:t>
            </w:r>
            <w:r w:rsidR="004A7FD1">
              <w:rPr>
                <w:sz w:val="24"/>
                <w:szCs w:val="24"/>
              </w:rPr>
              <w:t>.</w:t>
            </w:r>
          </w:p>
        </w:tc>
      </w:tr>
      <w:tr w:rsidR="00762EAE" w:rsidRPr="009238C5" w14:paraId="3BEE9F78" w14:textId="77777777" w:rsidTr="00762EAE">
        <w:tc>
          <w:tcPr>
            <w:tcW w:w="2806" w:type="dxa"/>
          </w:tcPr>
          <w:p w14:paraId="64D808EA" w14:textId="77777777" w:rsidR="00762EAE" w:rsidRPr="009238C5" w:rsidRDefault="00762EAE" w:rsidP="00762EAE">
            <w:pPr>
              <w:spacing w:before="120" w:after="120" w:line="276" w:lineRule="auto"/>
              <w:rPr>
                <w:sz w:val="24"/>
                <w:szCs w:val="24"/>
              </w:rPr>
            </w:pPr>
            <w:r w:rsidRPr="009238C5">
              <w:rPr>
                <w:sz w:val="24"/>
                <w:szCs w:val="24"/>
              </w:rPr>
              <w:t>Accents and abbreviations/vernacular usage</w:t>
            </w:r>
          </w:p>
        </w:tc>
        <w:tc>
          <w:tcPr>
            <w:tcW w:w="6215" w:type="dxa"/>
          </w:tcPr>
          <w:p w14:paraId="4EDAD372" w14:textId="77777777" w:rsidR="00762EAE" w:rsidRPr="009238C5" w:rsidRDefault="00762EAE" w:rsidP="00762EAE">
            <w:pPr>
              <w:spacing w:before="120" w:after="120" w:line="276" w:lineRule="auto"/>
              <w:rPr>
                <w:sz w:val="24"/>
                <w:szCs w:val="24"/>
              </w:rPr>
            </w:pPr>
            <w:r w:rsidRPr="009238C5">
              <w:rPr>
                <w:sz w:val="24"/>
                <w:szCs w:val="24"/>
              </w:rPr>
              <w:t xml:space="preserve">It’s important not to transform participants’ speech into ‘standard’ English; however, fully representing a strong regional accent can be a complex and </w:t>
            </w:r>
            <w:proofErr w:type="gramStart"/>
            <w:r w:rsidRPr="009238C5">
              <w:rPr>
                <w:sz w:val="24"/>
                <w:szCs w:val="24"/>
              </w:rPr>
              <w:t>time consuming</w:t>
            </w:r>
            <w:proofErr w:type="gramEnd"/>
            <w:r w:rsidRPr="009238C5">
              <w:rPr>
                <w:sz w:val="24"/>
                <w:szCs w:val="24"/>
              </w:rPr>
              <w:t xml:space="preserve"> process! A good compromise is to signal only the very </w:t>
            </w:r>
            <w:r w:rsidRPr="009238C5">
              <w:rPr>
                <w:sz w:val="24"/>
                <w:szCs w:val="24"/>
              </w:rPr>
              <w:lastRenderedPageBreak/>
              <w:t>obvious or common (and easy to translate into written text) abbreviations and vernacular usage such as ‘cos’ instead of ‘because’ or a Welsh speaker saying ‘me Mam’ (instead of the English ‘my Mum’), unless it is absolutely critical for your analysis to fully represent exactly how a speaker pronounces words and sounds.</w:t>
            </w:r>
          </w:p>
        </w:tc>
      </w:tr>
      <w:tr w:rsidR="00762EAE" w:rsidRPr="009238C5" w14:paraId="60767BCF" w14:textId="77777777" w:rsidTr="00762EAE">
        <w:tc>
          <w:tcPr>
            <w:tcW w:w="2806" w:type="dxa"/>
          </w:tcPr>
          <w:p w14:paraId="4C689D61" w14:textId="77777777" w:rsidR="00762EAE" w:rsidRPr="009238C5" w:rsidRDefault="00762EAE" w:rsidP="00762EAE">
            <w:pPr>
              <w:spacing w:before="120" w:after="120" w:line="276" w:lineRule="auto"/>
              <w:rPr>
                <w:sz w:val="24"/>
                <w:szCs w:val="24"/>
              </w:rPr>
            </w:pPr>
            <w:r w:rsidRPr="009238C5">
              <w:rPr>
                <w:sz w:val="24"/>
                <w:szCs w:val="24"/>
              </w:rPr>
              <w:lastRenderedPageBreak/>
              <w:t>Names of media (e.g., television programmes, books, magazines etc)</w:t>
            </w:r>
          </w:p>
        </w:tc>
        <w:tc>
          <w:tcPr>
            <w:tcW w:w="6215" w:type="dxa"/>
          </w:tcPr>
          <w:p w14:paraId="646A6375" w14:textId="7666582A" w:rsidR="00762EAE" w:rsidRPr="009238C5" w:rsidRDefault="00762EAE" w:rsidP="00762EAE">
            <w:pPr>
              <w:spacing w:before="120" w:after="120" w:line="276" w:lineRule="auto"/>
              <w:rPr>
                <w:sz w:val="24"/>
                <w:szCs w:val="24"/>
              </w:rPr>
            </w:pPr>
            <w:r w:rsidRPr="009238C5">
              <w:rPr>
                <w:sz w:val="24"/>
                <w:szCs w:val="24"/>
              </w:rPr>
              <w:t xml:space="preserve">These should be presented in italics (e.g. </w:t>
            </w:r>
            <w:r w:rsidRPr="009238C5">
              <w:rPr>
                <w:i/>
                <w:sz w:val="24"/>
                <w:szCs w:val="24"/>
              </w:rPr>
              <w:t>The Walking Dead, Men’s Health</w:t>
            </w:r>
            <w:r w:rsidRPr="009238C5">
              <w:rPr>
                <w:sz w:val="24"/>
                <w:szCs w:val="24"/>
              </w:rPr>
              <w:t>)</w:t>
            </w:r>
            <w:r w:rsidR="004A7FD1">
              <w:rPr>
                <w:sz w:val="24"/>
                <w:szCs w:val="24"/>
              </w:rPr>
              <w:t>.</w:t>
            </w:r>
          </w:p>
        </w:tc>
      </w:tr>
      <w:tr w:rsidR="00762EAE" w:rsidRPr="009238C5" w14:paraId="5EF1D797" w14:textId="77777777" w:rsidTr="00762EAE">
        <w:tc>
          <w:tcPr>
            <w:tcW w:w="2806" w:type="dxa"/>
          </w:tcPr>
          <w:p w14:paraId="3C789B27" w14:textId="77777777" w:rsidR="00762EAE" w:rsidRPr="009238C5" w:rsidRDefault="00762EAE" w:rsidP="00762EAE">
            <w:pPr>
              <w:spacing w:before="120" w:after="120" w:line="276" w:lineRule="auto"/>
              <w:rPr>
                <w:sz w:val="24"/>
                <w:szCs w:val="24"/>
              </w:rPr>
            </w:pPr>
            <w:r w:rsidRPr="009238C5">
              <w:rPr>
                <w:sz w:val="24"/>
                <w:szCs w:val="24"/>
              </w:rPr>
              <w:t>Identifying information</w:t>
            </w:r>
          </w:p>
        </w:tc>
        <w:tc>
          <w:tcPr>
            <w:tcW w:w="6215" w:type="dxa"/>
          </w:tcPr>
          <w:p w14:paraId="79E4F0AB" w14:textId="77777777" w:rsidR="00762EAE" w:rsidRPr="009238C5" w:rsidRDefault="00762EAE" w:rsidP="00762EAE">
            <w:pPr>
              <w:spacing w:before="120" w:after="120" w:line="276" w:lineRule="auto"/>
              <w:rPr>
                <w:sz w:val="24"/>
                <w:szCs w:val="24"/>
              </w:rPr>
            </w:pPr>
            <w:r w:rsidRPr="009238C5">
              <w:rPr>
                <w:sz w:val="24"/>
                <w:szCs w:val="24"/>
              </w:rPr>
              <w:t>You can either change identifying information such as people’s names and occupations, places, events etc. (e.g. ‘Bristol’ to ‘Manchester’) or insert generic descriptions of the information in square brackets (e.g. [brother’s name]).</w:t>
            </w:r>
          </w:p>
        </w:tc>
      </w:tr>
    </w:tbl>
    <w:p w14:paraId="7EE8A547" w14:textId="77777777" w:rsidR="00762EAE" w:rsidRPr="009238C5" w:rsidRDefault="00762EAE" w:rsidP="00762EAE">
      <w:pPr>
        <w:spacing w:before="120" w:after="120" w:line="276" w:lineRule="auto"/>
        <w:rPr>
          <w:sz w:val="24"/>
          <w:szCs w:val="24"/>
        </w:rPr>
      </w:pPr>
    </w:p>
    <w:sectPr w:rsidR="00762EAE" w:rsidRPr="00923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8B"/>
    <w:rsid w:val="004A7FD1"/>
    <w:rsid w:val="00762EAE"/>
    <w:rsid w:val="00B70E8B"/>
    <w:rsid w:val="00B8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6F14"/>
  <w15:chartTrackingRefBased/>
  <w15:docId w15:val="{A67AD1D9-9531-4E46-A872-1B6DDAC0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AE"/>
    <w:rPr>
      <w:rFonts w:cstheme="minorBidi"/>
      <w:sz w:val="22"/>
      <w:lang w:val="en-NZ"/>
    </w:rPr>
  </w:style>
  <w:style w:type="paragraph" w:styleId="Heading3">
    <w:name w:val="heading 3"/>
    <w:basedOn w:val="Normal"/>
    <w:next w:val="Normal"/>
    <w:link w:val="Heading3Char"/>
    <w:uiPriority w:val="9"/>
    <w:unhideWhenUsed/>
    <w:qFormat/>
    <w:rsid w:val="00762EAE"/>
    <w:pPr>
      <w:keepNext/>
      <w:keepLines/>
      <w:spacing w:before="40" w:after="0"/>
      <w:outlineLvl w:val="2"/>
    </w:pPr>
    <w:rPr>
      <w:rFonts w:eastAsiaTheme="majorEastAsia" w:cstheme="minorHAns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EA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762EAE"/>
    <w:rPr>
      <w:rFonts w:ascii="Segoe UI" w:hAnsi="Segoe UI" w:cs="Segoe UI"/>
      <w:sz w:val="18"/>
      <w:szCs w:val="18"/>
    </w:rPr>
  </w:style>
  <w:style w:type="character" w:customStyle="1" w:styleId="Heading3Char">
    <w:name w:val="Heading 3 Char"/>
    <w:basedOn w:val="DefaultParagraphFont"/>
    <w:link w:val="Heading3"/>
    <w:uiPriority w:val="9"/>
    <w:rsid w:val="00762EAE"/>
    <w:rPr>
      <w:rFonts w:eastAsiaTheme="majorEastAsia"/>
      <w:b/>
      <w:i/>
      <w:szCs w:val="24"/>
      <w:lang w:val="en-NZ"/>
    </w:rPr>
  </w:style>
  <w:style w:type="character" w:styleId="CommentReference">
    <w:name w:val="annotation reference"/>
    <w:basedOn w:val="DefaultParagraphFont"/>
    <w:uiPriority w:val="99"/>
    <w:semiHidden/>
    <w:unhideWhenUsed/>
    <w:rsid w:val="00762EAE"/>
    <w:rPr>
      <w:sz w:val="16"/>
      <w:szCs w:val="16"/>
    </w:rPr>
  </w:style>
  <w:style w:type="paragraph" w:styleId="CommentText">
    <w:name w:val="annotation text"/>
    <w:basedOn w:val="Normal"/>
    <w:link w:val="CommentTextChar"/>
    <w:uiPriority w:val="99"/>
    <w:semiHidden/>
    <w:unhideWhenUsed/>
    <w:rsid w:val="00762EAE"/>
    <w:pPr>
      <w:spacing w:line="240" w:lineRule="auto"/>
    </w:pPr>
    <w:rPr>
      <w:sz w:val="20"/>
      <w:szCs w:val="20"/>
    </w:rPr>
  </w:style>
  <w:style w:type="character" w:customStyle="1" w:styleId="CommentTextChar">
    <w:name w:val="Comment Text Char"/>
    <w:basedOn w:val="DefaultParagraphFont"/>
    <w:link w:val="CommentText"/>
    <w:uiPriority w:val="99"/>
    <w:semiHidden/>
    <w:rsid w:val="00762EAE"/>
    <w:rPr>
      <w:rFonts w:cstheme="minorBidi"/>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AnonTW</dc:creator>
  <cp:keywords/>
  <dc:description/>
  <cp:lastModifiedBy>Virginia Braun</cp:lastModifiedBy>
  <cp:revision>2</cp:revision>
  <dcterms:created xsi:type="dcterms:W3CDTF">2021-04-26T05:50:00Z</dcterms:created>
  <dcterms:modified xsi:type="dcterms:W3CDTF">2021-04-26T05:50:00Z</dcterms:modified>
</cp:coreProperties>
</file>