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BF7B91">
        <w:rPr>
          <w:rFonts w:eastAsia="Calibri" w:cs="Times New Roman"/>
          <w:b/>
        </w:rPr>
        <w:t>Four-step model of behaviour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B25CD5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B25CD5">
        <w:rPr>
          <w:rFonts w:eastAsia="Calibri" w:cs="Times New Roman"/>
          <w:b/>
        </w:rPr>
        <w:t>Buckler</w:t>
      </w:r>
      <w:bookmarkStart w:id="0" w:name="_GoBack"/>
      <w:bookmarkEnd w:id="0"/>
      <w:r w:rsidR="002F5485">
        <w:rPr>
          <w:rFonts w:eastAsia="Calibri" w:cs="Times New Roman"/>
          <w:b/>
        </w:rPr>
        <w:t>, 201</w:t>
      </w:r>
      <w:r w:rsidR="00B25CD5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B25CD5">
        <w:rPr>
          <w:rFonts w:eastAsia="Calibri" w:cs="Times New Roman"/>
          <w:b/>
        </w:rPr>
        <w:t>435-436</w:t>
      </w:r>
      <w:r w:rsidR="00CD2DF5">
        <w:rPr>
          <w:rFonts w:eastAsia="Calibri" w:cs="Times New Roman"/>
          <w:b/>
        </w:rPr>
        <w:t>)</w:t>
      </w:r>
    </w:p>
    <w:p w:rsidR="00BF7B91" w:rsidRDefault="00BF7B91" w:rsidP="00AF0334">
      <w:pPr>
        <w:jc w:val="both"/>
        <w:rPr>
          <w:rFonts w:eastAsia="Calibri" w:cs="Times New Roman"/>
          <w:b/>
        </w:rPr>
      </w:pPr>
    </w:p>
    <w:p w:rsidR="00BF7B91" w:rsidRDefault="00BF7B91" w:rsidP="00AF0334">
      <w:pPr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Swinson</w:t>
      </w:r>
      <w:proofErr w:type="spellEnd"/>
      <w:r>
        <w:rPr>
          <w:rFonts w:eastAsia="Calibri" w:cs="Times New Roman"/>
        </w:rPr>
        <w:t xml:space="preserve"> and </w:t>
      </w:r>
      <w:proofErr w:type="spellStart"/>
      <w:r>
        <w:rPr>
          <w:rFonts w:eastAsia="Calibri" w:cs="Times New Roman"/>
        </w:rPr>
        <w:t>Harrop’s</w:t>
      </w:r>
      <w:proofErr w:type="spellEnd"/>
      <w:r>
        <w:rPr>
          <w:rFonts w:eastAsia="Calibri" w:cs="Times New Roman"/>
        </w:rPr>
        <w:t xml:space="preserve"> (2012) four-step model of behaviour is presented below:</w:t>
      </w:r>
    </w:p>
    <w:p w:rsidR="00BF7B91" w:rsidRPr="00BF7B91" w:rsidRDefault="00BF7B91" w:rsidP="00BF7B91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Step one</w:t>
      </w:r>
    </w:p>
    <w:p w:rsidR="00BF7B91" w:rsidRPr="00BF7B91" w:rsidRDefault="00BF7B91" w:rsidP="00BF7B91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Ensure instructions and directions are absolutely clear.</w:t>
      </w:r>
    </w:p>
    <w:p w:rsidR="00BF7B91" w:rsidRPr="00BF7B91" w:rsidRDefault="00BF7B91" w:rsidP="00BF7B91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Step two</w:t>
      </w:r>
    </w:p>
    <w:p w:rsidR="00BF7B91" w:rsidRPr="00BF7B91" w:rsidRDefault="00BF7B91" w:rsidP="00BF7B91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Follow any instruction or direction by looking for learners doing what they have been asked and acknowledging them, e.g. ‘Well done table three!’</w:t>
      </w:r>
    </w:p>
    <w:p w:rsidR="00BF7B91" w:rsidRPr="00BF7B91" w:rsidRDefault="00BF7B91" w:rsidP="00BF7B91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Step three</w:t>
      </w:r>
    </w:p>
    <w:p w:rsidR="00BF7B91" w:rsidRPr="00BF7B91" w:rsidRDefault="00BF7B91" w:rsidP="00BF7B91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Specific and descriptive feedback to those on task</w:t>
      </w:r>
    </w:p>
    <w:p w:rsidR="00BF7B91" w:rsidRPr="00BF7B91" w:rsidRDefault="00BF7B91" w:rsidP="00BF7B91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Sincere and appropriate to the age</w:t>
      </w:r>
    </w:p>
    <w:p w:rsidR="00BF7B91" w:rsidRPr="00BF7B91" w:rsidRDefault="00BF7B91" w:rsidP="00BF7B91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E.g. ‘It is great to see you so engaged with tidying up quickly and quietly Cameron’</w:t>
      </w:r>
    </w:p>
    <w:p w:rsidR="00BF7B91" w:rsidRPr="00BF7B91" w:rsidRDefault="00BF7B91" w:rsidP="00BF7B91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Step four</w:t>
      </w:r>
    </w:p>
    <w:p w:rsidR="00BF7B91" w:rsidRPr="00BF7B91" w:rsidRDefault="00BF7B91" w:rsidP="00BF7B91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Always know exactly what to do to deal with inappropriate behaviour.</w:t>
      </w:r>
    </w:p>
    <w:p w:rsidR="00BF7B91" w:rsidRDefault="00BF7B91" w:rsidP="00BF7B91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Ensure a consistent approach for different categories of behaviour.</w:t>
      </w:r>
    </w:p>
    <w:p w:rsidR="00BF7B91" w:rsidRDefault="00BF7B91" w:rsidP="00BF7B91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E.g. </w:t>
      </w:r>
      <w:r w:rsidRPr="00BF7B91">
        <w:rPr>
          <w:rFonts w:eastAsia="Calibri" w:cs="Times New Roman"/>
        </w:rPr>
        <w:t>‘Claire, you have been asked to tidy up quickly and quietly: would you prefer to do this now, or after the rest of the class are at play?’</w:t>
      </w:r>
    </w:p>
    <w:p w:rsidR="00BF7B91" w:rsidRPr="00BF7B91" w:rsidRDefault="00BF7B91" w:rsidP="00BF7B91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By providing a choice, the learner can decide whether to engage with the instruction or to engage with the resulting consequence.</w:t>
      </w:r>
    </w:p>
    <w:p w:rsidR="00BF7B91" w:rsidRPr="00BF7B91" w:rsidRDefault="00BF7B91" w:rsidP="00AF0334">
      <w:pPr>
        <w:pStyle w:val="ListParagraph"/>
        <w:numPr>
          <w:ilvl w:val="1"/>
          <w:numId w:val="15"/>
        </w:numPr>
        <w:jc w:val="both"/>
        <w:rPr>
          <w:rFonts w:eastAsia="Calibri" w:cs="Times New Roman"/>
        </w:rPr>
      </w:pPr>
      <w:r w:rsidRPr="00BF7B91">
        <w:rPr>
          <w:rFonts w:eastAsia="Calibri" w:cs="Times New Roman"/>
        </w:rPr>
        <w:t>The consequence is directly related to the behaviour.</w:t>
      </w:r>
    </w:p>
    <w:p w:rsidR="00BF7B91" w:rsidRDefault="00BF7B91" w:rsidP="00AF0334">
      <w:pPr>
        <w:jc w:val="both"/>
        <w:rPr>
          <w:rFonts w:eastAsia="Calibri" w:cs="Times New Roman"/>
        </w:rPr>
      </w:pPr>
    </w:p>
    <w:p w:rsidR="00BF7B91" w:rsidRPr="00BF7B91" w:rsidRDefault="00BF7B91" w:rsidP="00AF0334">
      <w:pPr>
        <w:jc w:val="both"/>
        <w:rPr>
          <w:rFonts w:eastAsia="Calibri" w:cs="Times New Roman"/>
        </w:rPr>
      </w:pPr>
      <w:proofErr w:type="spellStart"/>
      <w:r w:rsidRPr="00BF7B91">
        <w:rPr>
          <w:rFonts w:eastAsia="Calibri" w:cs="Times New Roman"/>
        </w:rPr>
        <w:t>Swinson</w:t>
      </w:r>
      <w:proofErr w:type="spellEnd"/>
      <w:r w:rsidRPr="00BF7B91">
        <w:rPr>
          <w:rFonts w:eastAsia="Calibri" w:cs="Times New Roman"/>
        </w:rPr>
        <w:t xml:space="preserve"> and Harrop (2012) also identify th</w:t>
      </w:r>
      <w:r>
        <w:rPr>
          <w:rFonts w:eastAsia="Calibri" w:cs="Times New Roman"/>
        </w:rPr>
        <w:t xml:space="preserve">ree types of unwanted behaviour listed in the table below. </w:t>
      </w:r>
      <w:r w:rsidRPr="00BF7B91">
        <w:rPr>
          <w:rFonts w:eastAsia="Calibri" w:cs="Times New Roman"/>
        </w:rPr>
        <w:t xml:space="preserve">What consistent approach could you use for each of the three types of unwanted behaviour?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F7B91" w:rsidTr="00BF7B91">
        <w:tc>
          <w:tcPr>
            <w:tcW w:w="2943" w:type="dxa"/>
            <w:shd w:val="clear" w:color="auto" w:fill="D9D9D9" w:themeFill="background1" w:themeFillShade="D9"/>
          </w:tcPr>
          <w:p w:rsidR="00BF7B91" w:rsidRDefault="00BF7B91" w:rsidP="00AF0334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Type of behaviour</w:t>
            </w:r>
          </w:p>
        </w:tc>
        <w:tc>
          <w:tcPr>
            <w:tcW w:w="6299" w:type="dxa"/>
            <w:shd w:val="clear" w:color="auto" w:fill="D9D9D9" w:themeFill="background1" w:themeFillShade="D9"/>
          </w:tcPr>
          <w:p w:rsidR="00BF7B91" w:rsidRDefault="00BF7B91" w:rsidP="00AF0334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Strategies (e.g. what you could say)</w:t>
            </w:r>
          </w:p>
        </w:tc>
      </w:tr>
      <w:tr w:rsidR="00BF7B91" w:rsidTr="00BF7B91">
        <w:tc>
          <w:tcPr>
            <w:tcW w:w="2943" w:type="dxa"/>
            <w:shd w:val="clear" w:color="auto" w:fill="D9D9D9" w:themeFill="background1" w:themeFillShade="D9"/>
          </w:tcPr>
          <w:p w:rsidR="00BF7B91" w:rsidRPr="00BF7B91" w:rsidRDefault="00BF7B91" w:rsidP="00BF7B91">
            <w:pPr>
              <w:jc w:val="both"/>
              <w:rPr>
                <w:rFonts w:eastAsia="Calibri" w:cs="Times New Roman"/>
                <w:b/>
                <w:i/>
              </w:rPr>
            </w:pPr>
            <w:r w:rsidRPr="00BF7B91">
              <w:rPr>
                <w:rFonts w:eastAsia="Calibri" w:cs="Times New Roman"/>
                <w:b/>
                <w:i/>
              </w:rPr>
              <w:t xml:space="preserve">Non-disruptive off-task </w:t>
            </w:r>
          </w:p>
          <w:p w:rsidR="00BF7B91" w:rsidRDefault="00BF7B91" w:rsidP="00AF0334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BF7B91" w:rsidRPr="00BF7B91" w:rsidRDefault="00BF7B91" w:rsidP="00AF0334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6299" w:type="dxa"/>
          </w:tcPr>
          <w:p w:rsidR="00BF7B91" w:rsidRDefault="00BF7B91" w:rsidP="00AF0334">
            <w:pPr>
              <w:jc w:val="both"/>
              <w:rPr>
                <w:rFonts w:eastAsia="Calibri" w:cs="Times New Roman"/>
                <w:b/>
              </w:rPr>
            </w:pPr>
          </w:p>
        </w:tc>
      </w:tr>
      <w:tr w:rsidR="00BF7B91" w:rsidTr="00BF7B91">
        <w:tc>
          <w:tcPr>
            <w:tcW w:w="2943" w:type="dxa"/>
            <w:shd w:val="clear" w:color="auto" w:fill="D9D9D9" w:themeFill="background1" w:themeFillShade="D9"/>
          </w:tcPr>
          <w:p w:rsidR="00BF7B91" w:rsidRPr="00BF7B91" w:rsidRDefault="00BF7B91" w:rsidP="00BF7B91">
            <w:pPr>
              <w:jc w:val="both"/>
              <w:rPr>
                <w:rFonts w:eastAsia="Calibri" w:cs="Times New Roman"/>
                <w:b/>
                <w:i/>
              </w:rPr>
            </w:pPr>
            <w:r w:rsidRPr="00BF7B91">
              <w:rPr>
                <w:rFonts w:eastAsia="Calibri" w:cs="Times New Roman"/>
                <w:b/>
                <w:i/>
              </w:rPr>
              <w:t xml:space="preserve">Disruptive off-task </w:t>
            </w:r>
          </w:p>
          <w:p w:rsidR="00BF7B91" w:rsidRDefault="00BF7B91" w:rsidP="00AF0334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BF7B91" w:rsidRPr="00BF7B91" w:rsidRDefault="00BF7B91" w:rsidP="00AF0334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6299" w:type="dxa"/>
          </w:tcPr>
          <w:p w:rsidR="00BF7B91" w:rsidRDefault="00BF7B91" w:rsidP="00AF0334">
            <w:pPr>
              <w:jc w:val="both"/>
              <w:rPr>
                <w:rFonts w:eastAsia="Calibri" w:cs="Times New Roman"/>
                <w:b/>
              </w:rPr>
            </w:pPr>
          </w:p>
        </w:tc>
      </w:tr>
      <w:tr w:rsidR="00BF7B91" w:rsidTr="00BF7B91">
        <w:tc>
          <w:tcPr>
            <w:tcW w:w="2943" w:type="dxa"/>
            <w:shd w:val="clear" w:color="auto" w:fill="D9D9D9" w:themeFill="background1" w:themeFillShade="D9"/>
          </w:tcPr>
          <w:p w:rsidR="00BF7B91" w:rsidRPr="00BF7B91" w:rsidRDefault="00BF7B91" w:rsidP="00BF7B91">
            <w:pPr>
              <w:jc w:val="both"/>
              <w:rPr>
                <w:rFonts w:eastAsia="Calibri" w:cs="Times New Roman"/>
                <w:b/>
                <w:i/>
              </w:rPr>
            </w:pPr>
            <w:r w:rsidRPr="00BF7B91">
              <w:rPr>
                <w:rFonts w:eastAsia="Calibri" w:cs="Times New Roman"/>
                <w:b/>
                <w:i/>
              </w:rPr>
              <w:t xml:space="preserve">Severe disruptive </w:t>
            </w:r>
          </w:p>
          <w:p w:rsidR="00BF7B91" w:rsidRDefault="00BF7B91" w:rsidP="00AF0334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BF7B91" w:rsidRPr="00BF7B91" w:rsidRDefault="00BF7B91" w:rsidP="00AF0334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6299" w:type="dxa"/>
          </w:tcPr>
          <w:p w:rsidR="00BF7B91" w:rsidRDefault="00BF7B91" w:rsidP="00AF0334">
            <w:pPr>
              <w:jc w:val="both"/>
              <w:rPr>
                <w:rFonts w:eastAsia="Calibri" w:cs="Times New Roman"/>
                <w:b/>
              </w:rPr>
            </w:pPr>
          </w:p>
        </w:tc>
      </w:tr>
    </w:tbl>
    <w:p w:rsidR="00BF7B91" w:rsidRDefault="00BF7B91" w:rsidP="00AF0334">
      <w:pPr>
        <w:jc w:val="both"/>
        <w:rPr>
          <w:rFonts w:eastAsia="Calibri" w:cs="Times New Roman"/>
          <w:b/>
        </w:rPr>
      </w:pPr>
    </w:p>
    <w:sectPr w:rsidR="00BF7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349E"/>
    <w:multiLevelType w:val="hybridMultilevel"/>
    <w:tmpl w:val="7962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94422"/>
    <w:multiLevelType w:val="hybridMultilevel"/>
    <w:tmpl w:val="1868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1A4FDC"/>
    <w:rsid w:val="001E3172"/>
    <w:rsid w:val="001F1ACA"/>
    <w:rsid w:val="002F5485"/>
    <w:rsid w:val="00460E84"/>
    <w:rsid w:val="00491C52"/>
    <w:rsid w:val="005218D0"/>
    <w:rsid w:val="0054517A"/>
    <w:rsid w:val="005663EF"/>
    <w:rsid w:val="00667414"/>
    <w:rsid w:val="00667948"/>
    <w:rsid w:val="006E285D"/>
    <w:rsid w:val="00905BDB"/>
    <w:rsid w:val="00915233"/>
    <w:rsid w:val="00972BEC"/>
    <w:rsid w:val="009D0728"/>
    <w:rsid w:val="00A1083C"/>
    <w:rsid w:val="00AF0334"/>
    <w:rsid w:val="00B25CD5"/>
    <w:rsid w:val="00BF7B91"/>
    <w:rsid w:val="00CD2DF5"/>
    <w:rsid w:val="00DD3A8D"/>
    <w:rsid w:val="00E10E6B"/>
    <w:rsid w:val="00E70416"/>
    <w:rsid w:val="00E95898"/>
    <w:rsid w:val="00F40B3A"/>
    <w:rsid w:val="00FB085A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C347"/>
  <w15:docId w15:val="{696543F5-01A0-4292-AB0D-85BDA83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3</cp:revision>
  <dcterms:created xsi:type="dcterms:W3CDTF">2013-11-16T18:47:00Z</dcterms:created>
  <dcterms:modified xsi:type="dcterms:W3CDTF">2018-01-23T16:07:00Z</dcterms:modified>
</cp:coreProperties>
</file>