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AA99" w14:textId="77777777" w:rsidR="00FB2A4D" w:rsidRPr="00BC2FEB" w:rsidRDefault="00BC2FEB" w:rsidP="00B91F2C">
      <w:pPr>
        <w:pStyle w:val="Heading1"/>
        <w:keepNext w:val="0"/>
        <w:keepLines w:val="0"/>
        <w:spacing w:before="480"/>
      </w:pPr>
      <w:r>
        <w:pict w14:anchorId="60826156">
          <v:shapetype id="_x0000_t202" coordsize="21600,21600" o:spt="202" path="m,l,21600r21600,l21600,xe">
            <v:stroke joinstyle="miter"/>
            <v:path gradientshapeok="t" o:connecttype="rect"/>
          </v:shapetype>
          <v:shape id="Text Box 1" o:spid="_x0000_s1026" type="#_x0000_t202" style="width:443.9pt;height:198.45pt;visibility:visible;mso-wrap-style:squar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61A5E9BD" w14:textId="7389DA03" w:rsidR="00132D57" w:rsidRPr="00827133" w:rsidRDefault="00827133" w:rsidP="00BC2FEB">
                  <w:pPr>
                    <w:pStyle w:val="AHAHead"/>
                  </w:pPr>
                  <w:r w:rsidRPr="00BC2FEB">
                    <w:rPr>
                      <w:i/>
                    </w:rPr>
                    <w:t>Strategic Management</w:t>
                  </w:r>
                  <w:r w:rsidRPr="00827133">
                    <w:t xml:space="preserve">, 9e: Chapter </w:t>
                  </w:r>
                  <w:r w:rsidR="006F3F4D">
                    <w:t>4</w:t>
                  </w:r>
                  <w:r w:rsidRPr="00827133">
                    <w:t xml:space="preserve"> study guide</w:t>
                  </w:r>
                </w:p>
              </w:txbxContent>
            </v:textbox>
            <w10:anchorlock/>
          </v:shape>
        </w:pict>
      </w:r>
    </w:p>
    <w:p w14:paraId="2CA68766" w14:textId="2101E5D4" w:rsidR="00661254" w:rsidRPr="00BC2FEB" w:rsidRDefault="00DD658B" w:rsidP="00BC2FEB">
      <w:pPr>
        <w:pStyle w:val="BHBHead"/>
      </w:pPr>
      <w:r w:rsidRPr="00BC2FEB">
        <w:t xml:space="preserve">Summary of the reasons for the development of the </w:t>
      </w:r>
      <w:r w:rsidR="0036525A" w:rsidRPr="00BC2FEB">
        <w:t>Resource-Based View (</w:t>
      </w:r>
      <w:r w:rsidRPr="00BC2FEB">
        <w:t>RBV</w:t>
      </w:r>
      <w:r w:rsidR="0036525A" w:rsidRPr="00BC2FEB">
        <w:t>)</w:t>
      </w:r>
    </w:p>
    <w:p w14:paraId="0BA52967" w14:textId="77777777" w:rsidR="00661254" w:rsidRPr="00BC2FEB" w:rsidRDefault="00606FEC" w:rsidP="00BC2FEB">
      <w:pPr>
        <w:pStyle w:val="TFTextFullOut"/>
      </w:pPr>
      <w:r w:rsidRPr="00BC2FEB">
        <w:t>It was only in the 1980s that strategic management began to focus more on the competitive advantages of the individual firm and less on the strategic market. The study of the firm’s competitive advantages is called the Resource-Based View (RBV) of the firm.</w:t>
      </w:r>
    </w:p>
    <w:p w14:paraId="5A32039F" w14:textId="77777777" w:rsidR="00661254" w:rsidRPr="00BC2FEB" w:rsidRDefault="00661254" w:rsidP="00BC2FEB">
      <w:pPr>
        <w:pStyle w:val="FTCFiguretableCaption"/>
        <w:rPr>
          <w:b/>
          <w:sz w:val="22"/>
        </w:rPr>
      </w:pPr>
      <w:r w:rsidRPr="00BC2FEB">
        <w:rPr>
          <w:b/>
        </w:rPr>
        <w:t>Exhibit 2 Some selected research contributions to the development of the RBV</w:t>
      </w:r>
      <w:r w:rsidRPr="00BC2FEB">
        <w:rPr>
          <w:b/>
          <w:vertAlign w:val="superscript"/>
        </w:rPr>
        <w:endnoteReference w:id="1"/>
      </w:r>
    </w:p>
    <w:tbl>
      <w:tblPr>
        <w:tblStyle w:val="TableGrid"/>
        <w:tblW w:w="5000" w:type="pct"/>
        <w:tblLayout w:type="fixed"/>
        <w:tblLook w:val="0000" w:firstRow="0" w:lastRow="0" w:firstColumn="0" w:lastColumn="0" w:noHBand="0" w:noVBand="0"/>
      </w:tblPr>
      <w:tblGrid>
        <w:gridCol w:w="1975"/>
        <w:gridCol w:w="740"/>
        <w:gridCol w:w="6462"/>
      </w:tblGrid>
      <w:tr w:rsidR="00606FEC" w:rsidRPr="00061AC9" w14:paraId="51A9EF9F" w14:textId="77777777" w:rsidTr="00BC2FEB">
        <w:trPr>
          <w:trHeight w:val="60"/>
        </w:trPr>
        <w:tc>
          <w:tcPr>
            <w:tcW w:w="1076" w:type="pct"/>
          </w:tcPr>
          <w:p w14:paraId="4BC1D53C" w14:textId="77777777" w:rsidR="00661254" w:rsidRPr="00BC2FEB" w:rsidRDefault="00661254" w:rsidP="00BC2FEB">
            <w:pPr>
              <w:pStyle w:val="TCHTableColumnHead"/>
              <w:spacing w:before="120" w:after="120" w:line="360" w:lineRule="auto"/>
              <w:jc w:val="center"/>
              <w:rPr>
                <w:b/>
              </w:rPr>
            </w:pPr>
            <w:r w:rsidRPr="00BC2FEB">
              <w:rPr>
                <w:b/>
              </w:rPr>
              <w:t>Author(s)</w:t>
            </w:r>
          </w:p>
        </w:tc>
        <w:tc>
          <w:tcPr>
            <w:tcW w:w="403" w:type="pct"/>
          </w:tcPr>
          <w:p w14:paraId="661E3CE8" w14:textId="77777777" w:rsidR="00661254" w:rsidRPr="00BC2FEB" w:rsidRDefault="00661254" w:rsidP="00BC2FEB">
            <w:pPr>
              <w:pStyle w:val="TCHTableColumnHead"/>
              <w:spacing w:before="120" w:after="120" w:line="360" w:lineRule="auto"/>
              <w:jc w:val="center"/>
              <w:rPr>
                <w:b/>
              </w:rPr>
            </w:pPr>
            <w:r w:rsidRPr="00BC2FEB">
              <w:rPr>
                <w:b/>
              </w:rPr>
              <w:t>Date</w:t>
            </w:r>
          </w:p>
        </w:tc>
        <w:tc>
          <w:tcPr>
            <w:tcW w:w="3521" w:type="pct"/>
          </w:tcPr>
          <w:p w14:paraId="31136F84" w14:textId="77777777" w:rsidR="00661254" w:rsidRPr="00BC2FEB" w:rsidRDefault="00661254" w:rsidP="00BC2FEB">
            <w:pPr>
              <w:pStyle w:val="TCHTableColumnHead"/>
              <w:spacing w:before="120" w:after="120" w:line="360" w:lineRule="auto"/>
              <w:jc w:val="center"/>
              <w:rPr>
                <w:b/>
              </w:rPr>
            </w:pPr>
            <w:r w:rsidRPr="00BC2FEB">
              <w:rPr>
                <w:b/>
              </w:rPr>
              <w:t>Summary</w:t>
            </w:r>
          </w:p>
        </w:tc>
      </w:tr>
      <w:tr w:rsidR="00606FEC" w:rsidRPr="00061AC9" w14:paraId="6B18C8F7" w14:textId="77777777" w:rsidTr="00BC2FEB">
        <w:trPr>
          <w:trHeight w:val="60"/>
        </w:trPr>
        <w:tc>
          <w:tcPr>
            <w:tcW w:w="1076" w:type="pct"/>
          </w:tcPr>
          <w:p w14:paraId="7F5A8A56"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proofErr w:type="spellStart"/>
            <w:r w:rsidRPr="006F3F4D">
              <w:t>Wernerfelt</w:t>
            </w:r>
            <w:proofErr w:type="spellEnd"/>
          </w:p>
        </w:tc>
        <w:tc>
          <w:tcPr>
            <w:tcW w:w="403" w:type="pct"/>
          </w:tcPr>
          <w:p w14:paraId="4F7A14CE"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1984</w:t>
            </w:r>
          </w:p>
        </w:tc>
        <w:tc>
          <w:tcPr>
            <w:tcW w:w="3521" w:type="pct"/>
          </w:tcPr>
          <w:p w14:paraId="197CFD94"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Companies were seen as a collection of resources, rather than holding market positions in the development of strategy</w:t>
            </w:r>
            <w:r w:rsidR="0036525A" w:rsidRPr="006F3F4D">
              <w:t>.</w:t>
            </w:r>
          </w:p>
        </w:tc>
      </w:tr>
      <w:tr w:rsidR="00606FEC" w:rsidRPr="00061AC9" w14:paraId="3D4879EF" w14:textId="77777777" w:rsidTr="00BC2FEB">
        <w:trPr>
          <w:trHeight w:val="60"/>
        </w:trPr>
        <w:tc>
          <w:tcPr>
            <w:tcW w:w="1076" w:type="pct"/>
          </w:tcPr>
          <w:p w14:paraId="30E2A065" w14:textId="77777777" w:rsidR="00661254" w:rsidRPr="006F3F4D" w:rsidRDefault="00606FEC" w:rsidP="00BC2FEB">
            <w:pPr>
              <w:pStyle w:val="TTTableText"/>
              <w:spacing w:before="120" w:after="120"/>
            </w:pPr>
            <w:r w:rsidRPr="006F3F4D">
              <w:t>Barney</w:t>
            </w:r>
          </w:p>
        </w:tc>
        <w:tc>
          <w:tcPr>
            <w:tcW w:w="403" w:type="pct"/>
          </w:tcPr>
          <w:p w14:paraId="0130157E" w14:textId="77777777" w:rsidR="00661254" w:rsidRPr="00BC2FEB" w:rsidRDefault="00606FEC" w:rsidP="00BC2FEB">
            <w:pPr>
              <w:pStyle w:val="TTTableText"/>
              <w:spacing w:before="120" w:after="120"/>
            </w:pPr>
            <w:r w:rsidRPr="006F3F4D">
              <w:t>1986, 1991</w:t>
            </w:r>
          </w:p>
        </w:tc>
        <w:tc>
          <w:tcPr>
            <w:tcW w:w="3521" w:type="pct"/>
          </w:tcPr>
          <w:p w14:paraId="2CB52B3C" w14:textId="77777777" w:rsidR="00661254" w:rsidRPr="00BC2FEB" w:rsidRDefault="00606FEC" w:rsidP="00BC2FEB">
            <w:pPr>
              <w:pStyle w:val="TTTableText"/>
              <w:spacing w:before="120" w:after="120"/>
            </w:pPr>
            <w:r w:rsidRPr="00BC2FEB">
              <w:t>Competitive market imperfections, market entry barriers and other constraints require differing company resources and the immobility of resources for the development of successful strategy</w:t>
            </w:r>
          </w:p>
        </w:tc>
      </w:tr>
      <w:tr w:rsidR="00606FEC" w:rsidRPr="00061AC9" w14:paraId="64DCA52F" w14:textId="77777777" w:rsidTr="00BC2FEB">
        <w:trPr>
          <w:trHeight w:val="60"/>
        </w:trPr>
        <w:tc>
          <w:tcPr>
            <w:tcW w:w="1076" w:type="pct"/>
          </w:tcPr>
          <w:p w14:paraId="207AA2B3" w14:textId="77777777" w:rsidR="00661254" w:rsidRPr="006F3F4D" w:rsidRDefault="00606FEC" w:rsidP="00BC2FEB">
            <w:pPr>
              <w:pStyle w:val="TTTableText"/>
              <w:spacing w:before="120" w:after="120"/>
            </w:pPr>
            <w:proofErr w:type="spellStart"/>
            <w:r w:rsidRPr="006F3F4D">
              <w:t>Rumelt</w:t>
            </w:r>
            <w:proofErr w:type="spellEnd"/>
          </w:p>
        </w:tc>
        <w:tc>
          <w:tcPr>
            <w:tcW w:w="403" w:type="pct"/>
          </w:tcPr>
          <w:p w14:paraId="1BC07928" w14:textId="77777777" w:rsidR="00661254" w:rsidRPr="00BC2FEB" w:rsidRDefault="00606FEC" w:rsidP="00BC2FEB">
            <w:pPr>
              <w:pStyle w:val="TTTableText"/>
              <w:spacing w:before="120" w:after="120"/>
            </w:pPr>
            <w:r w:rsidRPr="006F3F4D">
              <w:t>1987</w:t>
            </w:r>
          </w:p>
        </w:tc>
        <w:tc>
          <w:tcPr>
            <w:tcW w:w="3521" w:type="pct"/>
          </w:tcPr>
          <w:p w14:paraId="41F4BBFD" w14:textId="77777777" w:rsidR="00661254" w:rsidRPr="00BC2FEB" w:rsidRDefault="00606FEC" w:rsidP="00BC2FEB">
            <w:pPr>
              <w:pStyle w:val="TTTableText"/>
              <w:spacing w:before="120" w:after="120"/>
            </w:pPr>
            <w:r w:rsidRPr="00BC2FEB">
              <w:t>Importance of resources in strategy development</w:t>
            </w:r>
          </w:p>
        </w:tc>
      </w:tr>
      <w:tr w:rsidR="00606FEC" w:rsidRPr="00061AC9" w14:paraId="4CB537A9" w14:textId="77777777" w:rsidTr="00BC2FEB">
        <w:trPr>
          <w:trHeight w:val="60"/>
        </w:trPr>
        <w:tc>
          <w:tcPr>
            <w:tcW w:w="1076" w:type="pct"/>
          </w:tcPr>
          <w:p w14:paraId="7FB9F8D4" w14:textId="77777777" w:rsidR="00661254" w:rsidRPr="006F3F4D" w:rsidRDefault="00606FEC" w:rsidP="00BC2FEB">
            <w:pPr>
              <w:pStyle w:val="TTTableText"/>
              <w:spacing w:before="120" w:after="120"/>
            </w:pPr>
            <w:r w:rsidRPr="006F3F4D">
              <w:t>Dierickx and Cool</w:t>
            </w:r>
          </w:p>
        </w:tc>
        <w:tc>
          <w:tcPr>
            <w:tcW w:w="403" w:type="pct"/>
          </w:tcPr>
          <w:p w14:paraId="1C8BC76B" w14:textId="77777777" w:rsidR="00661254" w:rsidRPr="00BC2FEB" w:rsidRDefault="00606FEC" w:rsidP="00BC2FEB">
            <w:pPr>
              <w:pStyle w:val="TTTableText"/>
              <w:spacing w:before="120" w:after="120"/>
            </w:pPr>
            <w:r w:rsidRPr="006F3F4D">
              <w:t>1989</w:t>
            </w:r>
          </w:p>
        </w:tc>
        <w:tc>
          <w:tcPr>
            <w:tcW w:w="3521" w:type="pct"/>
          </w:tcPr>
          <w:p w14:paraId="396E04A6"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BC2FEB">
              <w:t>Strategic assets are developed internally, not acquired. Such assets take time to develop</w:t>
            </w:r>
            <w:r w:rsidR="0036525A" w:rsidRPr="00BC2FEB">
              <w:t>.</w:t>
            </w:r>
          </w:p>
        </w:tc>
      </w:tr>
      <w:tr w:rsidR="00606FEC" w:rsidRPr="00061AC9" w14:paraId="3EBAB5C5" w14:textId="77777777" w:rsidTr="00BC2FEB">
        <w:trPr>
          <w:trHeight w:val="60"/>
        </w:trPr>
        <w:tc>
          <w:tcPr>
            <w:tcW w:w="1076" w:type="pct"/>
          </w:tcPr>
          <w:p w14:paraId="5F2522B0" w14:textId="77777777" w:rsidR="00661254" w:rsidRPr="006F3F4D" w:rsidRDefault="00606FEC" w:rsidP="00BC2FEB">
            <w:pPr>
              <w:pStyle w:val="TTTableText"/>
              <w:spacing w:before="120" w:after="120"/>
            </w:pPr>
            <w:proofErr w:type="spellStart"/>
            <w:r w:rsidRPr="006F3F4D">
              <w:t>Schoemaker</w:t>
            </w:r>
            <w:proofErr w:type="spellEnd"/>
          </w:p>
        </w:tc>
        <w:tc>
          <w:tcPr>
            <w:tcW w:w="403" w:type="pct"/>
          </w:tcPr>
          <w:p w14:paraId="2EB0A10A" w14:textId="77777777" w:rsidR="00661254" w:rsidRPr="00BC2FEB" w:rsidRDefault="00606FEC" w:rsidP="00BC2FEB">
            <w:pPr>
              <w:pStyle w:val="TTTableText"/>
              <w:spacing w:before="120" w:after="120"/>
            </w:pPr>
            <w:r w:rsidRPr="006F3F4D">
              <w:t>1990</w:t>
            </w:r>
          </w:p>
        </w:tc>
        <w:tc>
          <w:tcPr>
            <w:tcW w:w="3521" w:type="pct"/>
          </w:tcPr>
          <w:p w14:paraId="491ED413" w14:textId="77777777" w:rsidR="00661254" w:rsidRPr="00BC2FEB" w:rsidRDefault="00606FEC" w:rsidP="00BC2FEB">
            <w:pPr>
              <w:pStyle w:val="TTTableText"/>
              <w:spacing w:before="120" w:after="120"/>
            </w:pPr>
            <w:r w:rsidRPr="00BC2FEB">
              <w:t>Identified factors important in determining useful assets. Some assets not readily tradable for reasons of specialist skills, know-how and reputation</w:t>
            </w:r>
            <w:r w:rsidR="0036525A" w:rsidRPr="00BC2FEB">
              <w:t>.</w:t>
            </w:r>
          </w:p>
        </w:tc>
      </w:tr>
      <w:tr w:rsidR="00606FEC" w:rsidRPr="00061AC9" w14:paraId="26DF0205" w14:textId="77777777" w:rsidTr="00BC2FEB">
        <w:trPr>
          <w:trHeight w:val="60"/>
        </w:trPr>
        <w:tc>
          <w:tcPr>
            <w:tcW w:w="1076" w:type="pct"/>
          </w:tcPr>
          <w:p w14:paraId="1BDC0A61" w14:textId="77777777" w:rsidR="00661254" w:rsidRPr="006F3F4D" w:rsidRDefault="00606FEC" w:rsidP="00BC2FEB">
            <w:pPr>
              <w:pStyle w:val="TTTableText"/>
              <w:spacing w:before="120" w:after="120"/>
            </w:pPr>
            <w:r w:rsidRPr="006F3F4D">
              <w:t>Prahalad and Hamel</w:t>
            </w:r>
          </w:p>
        </w:tc>
        <w:tc>
          <w:tcPr>
            <w:tcW w:w="403" w:type="pct"/>
          </w:tcPr>
          <w:p w14:paraId="6386ED79"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1990</w:t>
            </w:r>
          </w:p>
        </w:tc>
        <w:tc>
          <w:tcPr>
            <w:tcW w:w="3521" w:type="pct"/>
          </w:tcPr>
          <w:p w14:paraId="4A512AAD"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 xml:space="preserve">Key resources: skills and technologies called core competencies – </w:t>
            </w:r>
            <w:r w:rsidR="00F13754" w:rsidRPr="006F3F4D">
              <w:rPr>
                <w:i/>
              </w:rPr>
              <w:t>see</w:t>
            </w:r>
            <w:r w:rsidRPr="006F3F4D">
              <w:t xml:space="preserve"> text</w:t>
            </w:r>
          </w:p>
        </w:tc>
      </w:tr>
      <w:tr w:rsidR="00606FEC" w:rsidRPr="00061AC9" w14:paraId="38FE568C" w14:textId="77777777" w:rsidTr="00BC2FEB">
        <w:trPr>
          <w:trHeight w:val="60"/>
        </w:trPr>
        <w:tc>
          <w:tcPr>
            <w:tcW w:w="1076" w:type="pct"/>
          </w:tcPr>
          <w:p w14:paraId="545D451E" w14:textId="77777777" w:rsidR="00661254" w:rsidRPr="006F3F4D" w:rsidRDefault="00606FEC" w:rsidP="00BC2FEB">
            <w:pPr>
              <w:pStyle w:val="TTTableText"/>
              <w:spacing w:before="120" w:after="120"/>
            </w:pPr>
            <w:proofErr w:type="spellStart"/>
            <w:r w:rsidRPr="006F3F4D">
              <w:t>Peteraf</w:t>
            </w:r>
            <w:proofErr w:type="spellEnd"/>
          </w:p>
        </w:tc>
        <w:tc>
          <w:tcPr>
            <w:tcW w:w="403" w:type="pct"/>
          </w:tcPr>
          <w:p w14:paraId="19317ECC"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1990</w:t>
            </w:r>
          </w:p>
        </w:tc>
        <w:tc>
          <w:tcPr>
            <w:tcW w:w="3521" w:type="pct"/>
          </w:tcPr>
          <w:p w14:paraId="1ADA04FE"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Identified four distinguishing features of resources</w:t>
            </w:r>
          </w:p>
        </w:tc>
      </w:tr>
      <w:tr w:rsidR="00606FEC" w:rsidRPr="00061AC9" w14:paraId="6C87D71A" w14:textId="77777777" w:rsidTr="00BC2FEB">
        <w:trPr>
          <w:trHeight w:val="60"/>
        </w:trPr>
        <w:tc>
          <w:tcPr>
            <w:tcW w:w="1076" w:type="pct"/>
          </w:tcPr>
          <w:p w14:paraId="104AFD46" w14:textId="77777777" w:rsidR="00661254" w:rsidRPr="006F3F4D" w:rsidRDefault="00606FEC" w:rsidP="00BC2FEB">
            <w:pPr>
              <w:pStyle w:val="TTTableText"/>
              <w:spacing w:before="120" w:after="120"/>
            </w:pPr>
            <w:r w:rsidRPr="006F3F4D">
              <w:lastRenderedPageBreak/>
              <w:t>Grant</w:t>
            </w:r>
          </w:p>
        </w:tc>
        <w:tc>
          <w:tcPr>
            <w:tcW w:w="403" w:type="pct"/>
          </w:tcPr>
          <w:p w14:paraId="27E313B0" w14:textId="77777777" w:rsidR="00661254" w:rsidRPr="00BC2FEB" w:rsidRDefault="00606FEC" w:rsidP="00BC2FEB">
            <w:pPr>
              <w:pStyle w:val="TTTableText"/>
              <w:spacing w:before="120" w:after="120"/>
            </w:pPr>
            <w:r w:rsidRPr="00BC2FEB">
              <w:t>1991</w:t>
            </w:r>
          </w:p>
        </w:tc>
        <w:tc>
          <w:tcPr>
            <w:tcW w:w="3521" w:type="pct"/>
          </w:tcPr>
          <w:p w14:paraId="4D7715B0" w14:textId="77777777" w:rsidR="00661254" w:rsidRPr="00BC2FEB" w:rsidRDefault="00606FEC" w:rsidP="00BC2FEB">
            <w:pPr>
              <w:pStyle w:val="TTTableText"/>
              <w:spacing w:before="120" w:after="120"/>
            </w:pPr>
            <w:r w:rsidRPr="00BC2FEB">
              <w:t xml:space="preserve">Definition of resources, </w:t>
            </w:r>
            <w:proofErr w:type="gramStart"/>
            <w:r w:rsidRPr="00BC2FEB">
              <w:t>capabilities</w:t>
            </w:r>
            <w:proofErr w:type="gramEnd"/>
            <w:r w:rsidRPr="00BC2FEB">
              <w:t xml:space="preserve"> and competitive advantage</w:t>
            </w:r>
          </w:p>
        </w:tc>
      </w:tr>
      <w:tr w:rsidR="00606FEC" w:rsidRPr="00061AC9" w14:paraId="72212CF8" w14:textId="77777777" w:rsidTr="00BC2FEB">
        <w:trPr>
          <w:trHeight w:val="60"/>
        </w:trPr>
        <w:tc>
          <w:tcPr>
            <w:tcW w:w="1076" w:type="pct"/>
          </w:tcPr>
          <w:p w14:paraId="3253FC4E" w14:textId="77777777" w:rsidR="00661254" w:rsidRPr="006F3F4D" w:rsidRDefault="00606FEC" w:rsidP="00BC2FEB">
            <w:pPr>
              <w:pStyle w:val="TTTableText"/>
              <w:spacing w:before="120" w:after="120"/>
            </w:pPr>
            <w:r w:rsidRPr="006F3F4D">
              <w:t>Connor</w:t>
            </w:r>
          </w:p>
        </w:tc>
        <w:tc>
          <w:tcPr>
            <w:tcW w:w="403" w:type="pct"/>
          </w:tcPr>
          <w:p w14:paraId="5B02F98D" w14:textId="77777777" w:rsidR="00661254" w:rsidRPr="00BC2FEB" w:rsidRDefault="00606FEC" w:rsidP="00BC2FEB">
            <w:pPr>
              <w:pStyle w:val="TTTableText"/>
              <w:spacing w:before="120" w:after="120"/>
            </w:pPr>
            <w:r w:rsidRPr="00BC2FEB">
              <w:t>1991</w:t>
            </w:r>
          </w:p>
        </w:tc>
        <w:tc>
          <w:tcPr>
            <w:tcW w:w="3521" w:type="pct"/>
          </w:tcPr>
          <w:p w14:paraId="1C2C7F6D" w14:textId="77777777" w:rsidR="00661254" w:rsidRPr="00BC2FEB" w:rsidRDefault="00606FEC" w:rsidP="00BC2FEB">
            <w:pPr>
              <w:pStyle w:val="TTTableText"/>
              <w:spacing w:before="120" w:after="120"/>
            </w:pPr>
            <w:r w:rsidRPr="00BC2FEB">
              <w:t>Resources long-lived, difficult to imitate</w:t>
            </w:r>
          </w:p>
        </w:tc>
      </w:tr>
      <w:tr w:rsidR="00606FEC" w:rsidRPr="00061AC9" w14:paraId="261EBB4B" w14:textId="77777777" w:rsidTr="00BC2FEB">
        <w:trPr>
          <w:trHeight w:val="60"/>
        </w:trPr>
        <w:tc>
          <w:tcPr>
            <w:tcW w:w="1076" w:type="pct"/>
          </w:tcPr>
          <w:p w14:paraId="7DC72505" w14:textId="77777777" w:rsidR="00661254" w:rsidRPr="006F3F4D" w:rsidRDefault="00606FEC" w:rsidP="00BC2FEB">
            <w:pPr>
              <w:pStyle w:val="TTTableText"/>
              <w:spacing w:before="120" w:after="120"/>
            </w:pPr>
            <w:r w:rsidRPr="006F3F4D">
              <w:t xml:space="preserve">Amit and </w:t>
            </w:r>
            <w:proofErr w:type="spellStart"/>
            <w:r w:rsidRPr="006F3F4D">
              <w:t>Schoemaker</w:t>
            </w:r>
            <w:proofErr w:type="spellEnd"/>
          </w:p>
        </w:tc>
        <w:tc>
          <w:tcPr>
            <w:tcW w:w="403" w:type="pct"/>
          </w:tcPr>
          <w:p w14:paraId="5BE425A1"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BC2FEB">
              <w:t>1993</w:t>
            </w:r>
          </w:p>
        </w:tc>
        <w:tc>
          <w:tcPr>
            <w:tcW w:w="3521" w:type="pct"/>
          </w:tcPr>
          <w:p w14:paraId="5A847238"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 xml:space="preserve">Explored processes through which resources are developed, </w:t>
            </w:r>
            <w:proofErr w:type="gramStart"/>
            <w:r w:rsidRPr="006F3F4D">
              <w:t>e.g.</w:t>
            </w:r>
            <w:proofErr w:type="gramEnd"/>
            <w:r w:rsidRPr="006F3F4D">
              <w:t xml:space="preserve"> bounded rationality</w:t>
            </w:r>
          </w:p>
        </w:tc>
      </w:tr>
      <w:tr w:rsidR="00606FEC" w:rsidRPr="00061AC9" w14:paraId="349D0D2A" w14:textId="77777777" w:rsidTr="00BC2FEB">
        <w:trPr>
          <w:trHeight w:val="60"/>
        </w:trPr>
        <w:tc>
          <w:tcPr>
            <w:tcW w:w="1076" w:type="pct"/>
          </w:tcPr>
          <w:p w14:paraId="0403E3C6" w14:textId="77777777" w:rsidR="00661254" w:rsidRPr="006F3F4D" w:rsidRDefault="00606FEC" w:rsidP="00BC2FEB">
            <w:pPr>
              <w:pStyle w:val="TTTableText"/>
              <w:spacing w:before="120" w:after="120"/>
            </w:pPr>
            <w:r w:rsidRPr="006F3F4D">
              <w:t>Kay</w:t>
            </w:r>
          </w:p>
        </w:tc>
        <w:tc>
          <w:tcPr>
            <w:tcW w:w="403" w:type="pct"/>
          </w:tcPr>
          <w:p w14:paraId="2445C6E6" w14:textId="77777777" w:rsidR="00661254" w:rsidRPr="00BC2FEB" w:rsidRDefault="00606FEC" w:rsidP="00BC2FEB">
            <w:pPr>
              <w:pStyle w:val="TTTableText"/>
              <w:spacing w:before="120" w:after="120"/>
            </w:pPr>
            <w:r w:rsidRPr="00BC2FEB">
              <w:t>1994</w:t>
            </w:r>
          </w:p>
        </w:tc>
        <w:tc>
          <w:tcPr>
            <w:tcW w:w="3521" w:type="pct"/>
          </w:tcPr>
          <w:p w14:paraId="23EC203A" w14:textId="77777777" w:rsidR="00661254" w:rsidRPr="00BC2FEB" w:rsidRDefault="00606FEC" w:rsidP="00BC2FEB">
            <w:pPr>
              <w:pStyle w:val="TTTableText"/>
              <w:spacing w:before="120" w:after="120"/>
            </w:pPr>
            <w:r w:rsidRPr="00BC2FEB">
              <w:t xml:space="preserve">Identified the three most important resources as the firm’s ability to innovate, its reputation and its network of relationships inside and outside (architecture) – </w:t>
            </w:r>
            <w:r w:rsidR="00F13754" w:rsidRPr="00BC2FEB">
              <w:rPr>
                <w:i/>
              </w:rPr>
              <w:t>see</w:t>
            </w:r>
            <w:r w:rsidRPr="00BC2FEB">
              <w:t xml:space="preserve"> text</w:t>
            </w:r>
          </w:p>
        </w:tc>
      </w:tr>
      <w:tr w:rsidR="00606FEC" w:rsidRPr="00061AC9" w14:paraId="331A186E" w14:textId="77777777" w:rsidTr="00BC2FEB">
        <w:trPr>
          <w:trHeight w:val="60"/>
        </w:trPr>
        <w:tc>
          <w:tcPr>
            <w:tcW w:w="1076" w:type="pct"/>
          </w:tcPr>
          <w:p w14:paraId="080ED1AA"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 xml:space="preserve">Teece, Pisano and </w:t>
            </w:r>
            <w:proofErr w:type="spellStart"/>
            <w:r w:rsidRPr="006F3F4D">
              <w:t>Shuen</w:t>
            </w:r>
            <w:proofErr w:type="spellEnd"/>
          </w:p>
        </w:tc>
        <w:tc>
          <w:tcPr>
            <w:tcW w:w="403" w:type="pct"/>
          </w:tcPr>
          <w:p w14:paraId="3B8E0C39"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1997</w:t>
            </w:r>
          </w:p>
        </w:tc>
        <w:tc>
          <w:tcPr>
            <w:tcW w:w="3521" w:type="pct"/>
          </w:tcPr>
          <w:p w14:paraId="5377B9A7"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Explored the changing nature of resources</w:t>
            </w:r>
          </w:p>
        </w:tc>
      </w:tr>
      <w:tr w:rsidR="00606FEC" w:rsidRPr="00061AC9" w14:paraId="7B07FB38" w14:textId="77777777" w:rsidTr="00BC2FEB">
        <w:trPr>
          <w:trHeight w:val="60"/>
        </w:trPr>
        <w:tc>
          <w:tcPr>
            <w:tcW w:w="1076" w:type="pct"/>
          </w:tcPr>
          <w:p w14:paraId="0B2808DC" w14:textId="77777777" w:rsidR="00661254" w:rsidRPr="006F3F4D" w:rsidRDefault="00606FEC" w:rsidP="00BC2FEB">
            <w:pPr>
              <w:pStyle w:val="TTTableText"/>
              <w:spacing w:before="120" w:after="120"/>
            </w:pPr>
            <w:proofErr w:type="spellStart"/>
            <w:r w:rsidRPr="006F3F4D">
              <w:t>Makadok</w:t>
            </w:r>
            <w:proofErr w:type="spellEnd"/>
          </w:p>
        </w:tc>
        <w:tc>
          <w:tcPr>
            <w:tcW w:w="403" w:type="pct"/>
          </w:tcPr>
          <w:p w14:paraId="19E88BAF" w14:textId="77777777" w:rsidR="00661254" w:rsidRPr="00BC2FEB" w:rsidRDefault="00606FEC" w:rsidP="00BC2FEB">
            <w:pPr>
              <w:pStyle w:val="TTTableText"/>
              <w:spacing w:before="120" w:after="120"/>
            </w:pPr>
            <w:r w:rsidRPr="00BC2FEB">
              <w:t>2001</w:t>
            </w:r>
          </w:p>
        </w:tc>
        <w:tc>
          <w:tcPr>
            <w:tcW w:w="3521" w:type="pct"/>
          </w:tcPr>
          <w:p w14:paraId="09436F0D" w14:textId="77777777" w:rsidR="00661254" w:rsidRPr="00BC2FEB" w:rsidRDefault="00606FEC" w:rsidP="00BC2FEB">
            <w:pPr>
              <w:pStyle w:val="TTTableText"/>
              <w:spacing w:before="120" w:after="120"/>
            </w:pPr>
            <w:r w:rsidRPr="00BC2FEB">
              <w:t>Examined resource-based and dynamic capabilities with a view to developing a synthesis</w:t>
            </w:r>
          </w:p>
        </w:tc>
      </w:tr>
      <w:tr w:rsidR="00606FEC" w:rsidRPr="00061AC9" w14:paraId="703A470E" w14:textId="77777777" w:rsidTr="00BC2FEB">
        <w:trPr>
          <w:trHeight w:val="60"/>
        </w:trPr>
        <w:tc>
          <w:tcPr>
            <w:tcW w:w="1076" w:type="pct"/>
          </w:tcPr>
          <w:p w14:paraId="7C3D87B4"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Hoopes, Madsen and Walker</w:t>
            </w:r>
          </w:p>
        </w:tc>
        <w:tc>
          <w:tcPr>
            <w:tcW w:w="403" w:type="pct"/>
          </w:tcPr>
          <w:p w14:paraId="5F8C080A"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2003</w:t>
            </w:r>
          </w:p>
        </w:tc>
        <w:tc>
          <w:tcPr>
            <w:tcW w:w="3521" w:type="pct"/>
          </w:tcPr>
          <w:p w14:paraId="1A1D4705"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 xml:space="preserve">Special edition of </w:t>
            </w:r>
            <w:r w:rsidR="00F13754" w:rsidRPr="006F3F4D">
              <w:rPr>
                <w:i/>
              </w:rPr>
              <w:t>Strategic Management Journal</w:t>
            </w:r>
            <w:r w:rsidRPr="00BC2FEB">
              <w:t xml:space="preserve"> on the RBV – 13 papers on the topic</w:t>
            </w:r>
          </w:p>
        </w:tc>
      </w:tr>
      <w:tr w:rsidR="00606FEC" w:rsidRPr="00061AC9" w14:paraId="1B9A2EFE" w14:textId="77777777" w:rsidTr="00BC2FEB">
        <w:trPr>
          <w:trHeight w:val="60"/>
        </w:trPr>
        <w:tc>
          <w:tcPr>
            <w:tcW w:w="1076" w:type="pct"/>
          </w:tcPr>
          <w:p w14:paraId="06C4E5CA" w14:textId="77777777" w:rsidR="00661254" w:rsidRPr="00BC2FEB" w:rsidRDefault="00606FEC" w:rsidP="00BC2FEB">
            <w:pPr>
              <w:pStyle w:val="TTTableText"/>
              <w:spacing w:before="120" w:after="120"/>
            </w:pPr>
            <w:proofErr w:type="spellStart"/>
            <w:r w:rsidRPr="006F3F4D">
              <w:t>Misangyi</w:t>
            </w:r>
            <w:proofErr w:type="spellEnd"/>
            <w:r w:rsidRPr="006F3F4D">
              <w:t xml:space="preserve"> </w:t>
            </w:r>
            <w:r w:rsidR="00F13754" w:rsidRPr="006F3F4D">
              <w:rPr>
                <w:i/>
              </w:rPr>
              <w:t>et al.</w:t>
            </w:r>
          </w:p>
        </w:tc>
        <w:tc>
          <w:tcPr>
            <w:tcW w:w="403" w:type="pct"/>
          </w:tcPr>
          <w:p w14:paraId="4AB03A0B"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BC2FEB">
              <w:t>2006</w:t>
            </w:r>
          </w:p>
        </w:tc>
        <w:tc>
          <w:tcPr>
            <w:tcW w:w="3521" w:type="pct"/>
          </w:tcPr>
          <w:p w14:paraId="65AF92A8" w14:textId="77777777" w:rsidR="00661254" w:rsidRPr="00061AC9" w:rsidRDefault="00606FEC" w:rsidP="00BC2FEB">
            <w:pPr>
              <w:pStyle w:val="TTTableText"/>
              <w:spacing w:before="120" w:after="120"/>
              <w:rPr>
                <w:rFonts w:ascii="Franklin Gothic Medium" w:hAnsi="Franklin Gothic Medium"/>
                <w:color w:val="FFFFFF" w:themeColor="background1"/>
                <w:sz w:val="48"/>
              </w:rPr>
            </w:pPr>
            <w:r w:rsidRPr="006F3F4D">
              <w:t xml:space="preserve">Suggested that the business segment was most </w:t>
            </w:r>
            <w:proofErr w:type="gramStart"/>
            <w:r w:rsidRPr="006F3F4D">
              <w:t>significant</w:t>
            </w:r>
            <w:proofErr w:type="gramEnd"/>
            <w:r w:rsidRPr="006F3F4D">
              <w:t xml:space="preserve"> but that industry and corporate environments also deserve consideration</w:t>
            </w:r>
          </w:p>
        </w:tc>
      </w:tr>
      <w:tr w:rsidR="00606FEC" w:rsidRPr="00061AC9" w14:paraId="01D80019" w14:textId="77777777" w:rsidTr="00BC2FEB">
        <w:trPr>
          <w:trHeight w:val="60"/>
        </w:trPr>
        <w:tc>
          <w:tcPr>
            <w:tcW w:w="1076" w:type="pct"/>
          </w:tcPr>
          <w:p w14:paraId="050998B3" w14:textId="77777777" w:rsidR="00661254" w:rsidRPr="006F3F4D" w:rsidRDefault="00606FEC" w:rsidP="00BC2FEB">
            <w:pPr>
              <w:pStyle w:val="TTTableText"/>
              <w:spacing w:before="120" w:after="120"/>
            </w:pPr>
            <w:proofErr w:type="spellStart"/>
            <w:r w:rsidRPr="006F3F4D">
              <w:t>Newbert</w:t>
            </w:r>
            <w:proofErr w:type="spellEnd"/>
          </w:p>
        </w:tc>
        <w:tc>
          <w:tcPr>
            <w:tcW w:w="403" w:type="pct"/>
          </w:tcPr>
          <w:p w14:paraId="5C33B702" w14:textId="77777777" w:rsidR="00661254" w:rsidRPr="00BC2FEB" w:rsidRDefault="00606FEC" w:rsidP="00BC2FEB">
            <w:pPr>
              <w:pStyle w:val="TTTableText"/>
              <w:spacing w:before="120" w:after="120"/>
            </w:pPr>
            <w:r w:rsidRPr="00BC2FEB">
              <w:t>2007</w:t>
            </w:r>
          </w:p>
        </w:tc>
        <w:tc>
          <w:tcPr>
            <w:tcW w:w="3521" w:type="pct"/>
          </w:tcPr>
          <w:p w14:paraId="4700B978" w14:textId="3A184185" w:rsidR="00661254" w:rsidRPr="00061AC9" w:rsidRDefault="00606FEC" w:rsidP="00BC2FEB">
            <w:pPr>
              <w:pStyle w:val="TTTableText"/>
              <w:spacing w:before="120" w:after="120"/>
              <w:rPr>
                <w:rFonts w:ascii="Franklin Gothic Medium" w:hAnsi="Franklin Gothic Medium"/>
                <w:color w:val="FFFFFF" w:themeColor="background1"/>
                <w:sz w:val="48"/>
              </w:rPr>
            </w:pPr>
            <w:r w:rsidRPr="00BC2FEB">
              <w:t>Surveyed empirical studies of the RBV and found that the RBV received ‘only modest support overall’ but that this may reflect data from some of the early RBV studies, which do not take into account the latest theory about the dynamics of the RBV</w:t>
            </w:r>
          </w:p>
        </w:tc>
      </w:tr>
    </w:tbl>
    <w:p w14:paraId="568867D8" w14:textId="4F965DD0" w:rsidR="00661254" w:rsidRPr="00BC2FEB" w:rsidRDefault="00606FEC" w:rsidP="00BC2FEB">
      <w:pPr>
        <w:pStyle w:val="TITextIndent"/>
      </w:pPr>
      <w:r w:rsidRPr="006F3F4D">
        <w:t>During the 1980s, strategists like Porter explored and emphasised the need to identify profit-able markets and then find competitive advantage by industry solutions in those markets – for example, his ‘generic strategies’ are explored in Chapter 8. Even while these developments were receiving strong approval f</w:t>
      </w:r>
      <w:r w:rsidRPr="00BC2FEB">
        <w:t xml:space="preserve">rom some commentators, disturbing evidence was pointing in a different direction. For example, </w:t>
      </w:r>
      <w:proofErr w:type="spellStart"/>
      <w:r w:rsidRPr="00BC2FEB">
        <w:t>Rumelt</w:t>
      </w:r>
      <w:proofErr w:type="spellEnd"/>
      <w:r w:rsidR="00F13754" w:rsidRPr="00BC2FEB">
        <w:rPr>
          <w:vertAlign w:val="superscript"/>
        </w:rPr>
        <w:endnoteReference w:id="2"/>
      </w:r>
      <w:r w:rsidRPr="00BC2FEB">
        <w:t xml:space="preserve"> published a study in 1991 of the sources of profits in major US corporations in the 1970s. This suggested that the greatest contributor to overall company profitability was at the </w:t>
      </w:r>
      <w:r w:rsidR="00F13754" w:rsidRPr="00BC2FEB">
        <w:rPr>
          <w:i/>
        </w:rPr>
        <w:t>individual company level</w:t>
      </w:r>
      <w:r w:rsidRPr="00BC2FEB">
        <w:t xml:space="preserve"> rather than at the higher, corporate level or at the level of the industry overall or the cyclicality of the industry. The results are shown below. For this North American sample, they indicate that what matters is the individual business area rather than the industry. Whether this finding is true for other countries and industry samples cannot easily be established. But it did suggest that industry solutions to resources are unlikely to be the main source of profits, thus undermining the Porter approach. In fairness to Porter, he produced similar evidence himself (with </w:t>
      </w:r>
      <w:proofErr w:type="spellStart"/>
      <w:r w:rsidRPr="00BC2FEB">
        <w:t>McGahan</w:t>
      </w:r>
      <w:proofErr w:type="spellEnd"/>
      <w:r w:rsidRPr="00BC2FEB">
        <w:t>) in research published in 1997.</w:t>
      </w:r>
      <w:r w:rsidR="00F13754" w:rsidRPr="00BC2FEB">
        <w:rPr>
          <w:vertAlign w:val="superscript"/>
        </w:rPr>
        <w:endnoteReference w:id="3"/>
      </w:r>
      <w:r w:rsidRPr="00BC2FEB">
        <w:t xml:space="preserve"> However, Porter’s research suggested that the company effect was not quite as large as that found by </w:t>
      </w:r>
      <w:proofErr w:type="spellStart"/>
      <w:r w:rsidRPr="00BC2FEB">
        <w:t>Rumelt</w:t>
      </w:r>
      <w:proofErr w:type="spellEnd"/>
      <w:r w:rsidRPr="00BC2FEB">
        <w:t xml:space="preserve">, possibly because Porter used a sample that included service industries as well as manufacturing. Later scholars have taken such studies further and concluded that </w:t>
      </w:r>
      <w:r w:rsidR="00F13754" w:rsidRPr="00BC2FEB">
        <w:rPr>
          <w:i/>
        </w:rPr>
        <w:t>individual company resources</w:t>
      </w:r>
      <w:r w:rsidRPr="00BC2FEB">
        <w:t xml:space="preserve"> are more important than the industry effect but that the situation is more complex than these early studies.</w:t>
      </w:r>
      <w:r w:rsidR="00F13754" w:rsidRPr="00BC2FEB">
        <w:rPr>
          <w:vertAlign w:val="superscript"/>
        </w:rPr>
        <w:endnoteReference w:id="4"/>
      </w:r>
      <w:r w:rsidRPr="00BC2FEB">
        <w:t xml:space="preserve"> Essentially, what also matters is organisation’s </w:t>
      </w:r>
      <w:r w:rsidRPr="00BC2FEB">
        <w:lastRenderedPageBreak/>
        <w:t xml:space="preserve">capability to organise </w:t>
      </w:r>
      <w:r w:rsidR="00F13754" w:rsidRPr="00BC2FEB">
        <w:rPr>
          <w:i/>
        </w:rPr>
        <w:t>dynamic renewal</w:t>
      </w:r>
      <w:r w:rsidRPr="00BC2FEB">
        <w:t xml:space="preserve"> of its resources that really delivers competitive advantage. We explore this in </w:t>
      </w:r>
      <w:r w:rsidR="0036525A" w:rsidRPr="00BC2FEB">
        <w:t>Chapter</w:t>
      </w:r>
      <w:r w:rsidRPr="00BC2FEB">
        <w:t xml:space="preserve"> 5.</w:t>
      </w:r>
    </w:p>
    <w:p w14:paraId="4A049C1E" w14:textId="77777777" w:rsidR="00661254" w:rsidRPr="00BC2FEB" w:rsidRDefault="00606FEC" w:rsidP="00BC2FEB">
      <w:pPr>
        <w:pStyle w:val="TITextIndent"/>
      </w:pPr>
      <w:r w:rsidRPr="00BC2FEB">
        <w:t>Around the same time, other strategists were puzzled by the different long-term profit performance of companies in the same industry. They argued that, if industry was the main determinant of profits, then all companies in an industry should have similar levels of profitability. But this clearly was not the case. For example, Toyota (Japan) and Honda (Japan) made massive strides worldwide in the car industry, often at the expense of General Motors (USA) and Ford (USA), who were losing profits, even in their home markets. Why did this happen? Industry analysis was certainly not wrong: it was needed to identify sustainable competitive advantage and customer needs. But it was clearly not enough.</w:t>
      </w:r>
    </w:p>
    <w:p w14:paraId="2DE602CA" w14:textId="77777777" w:rsidR="00661254" w:rsidRPr="00BC2FEB" w:rsidRDefault="00661254" w:rsidP="00BC2FEB">
      <w:pPr>
        <w:pStyle w:val="FTCFiguretableCaption"/>
        <w:rPr>
          <w:b/>
        </w:rPr>
      </w:pPr>
      <w:r w:rsidRPr="00BC2FEB">
        <w:rPr>
          <w:b/>
        </w:rPr>
        <w:t>Table 1: Contributions to the variance of profitability across business units</w:t>
      </w:r>
    </w:p>
    <w:tbl>
      <w:tblPr>
        <w:tblStyle w:val="TableGrid"/>
        <w:tblW w:w="5000" w:type="pct"/>
        <w:tblLayout w:type="fixed"/>
        <w:tblLook w:val="0000" w:firstRow="0" w:lastRow="0" w:firstColumn="0" w:lastColumn="0" w:noHBand="0" w:noVBand="0"/>
      </w:tblPr>
      <w:tblGrid>
        <w:gridCol w:w="4254"/>
        <w:gridCol w:w="4923"/>
      </w:tblGrid>
      <w:tr w:rsidR="00606FEC" w:rsidRPr="00061AC9" w14:paraId="5D65D618" w14:textId="77777777" w:rsidTr="00BC2FEB">
        <w:trPr>
          <w:trHeight w:val="60"/>
        </w:trPr>
        <w:tc>
          <w:tcPr>
            <w:tcW w:w="2318" w:type="pct"/>
          </w:tcPr>
          <w:p w14:paraId="6C05DBB1" w14:textId="77777777" w:rsidR="00661254" w:rsidRPr="00BC2FEB" w:rsidRDefault="00661254" w:rsidP="00BC2FEB">
            <w:pPr>
              <w:pStyle w:val="TCHTableColumnHead"/>
              <w:spacing w:before="120" w:after="120" w:line="360" w:lineRule="auto"/>
              <w:rPr>
                <w:b/>
              </w:rPr>
            </w:pPr>
            <w:r w:rsidRPr="00BC2FEB">
              <w:rPr>
                <w:b/>
              </w:rPr>
              <w:t>Source within corporation</w:t>
            </w:r>
          </w:p>
        </w:tc>
        <w:tc>
          <w:tcPr>
            <w:tcW w:w="2682" w:type="pct"/>
          </w:tcPr>
          <w:p w14:paraId="37CA0D1D" w14:textId="77777777" w:rsidR="00661254" w:rsidRPr="00BC2FEB" w:rsidRDefault="00661254" w:rsidP="00BC2FEB">
            <w:pPr>
              <w:pStyle w:val="TCHTableColumnHead"/>
              <w:spacing w:before="120" w:after="120" w:line="360" w:lineRule="auto"/>
              <w:rPr>
                <w:b/>
              </w:rPr>
            </w:pPr>
            <w:r w:rsidRPr="00BC2FEB">
              <w:rPr>
                <w:b/>
              </w:rPr>
              <w:t>Contribution to the total profitability of the corporation</w:t>
            </w:r>
          </w:p>
        </w:tc>
      </w:tr>
      <w:tr w:rsidR="00606FEC" w:rsidRPr="00061AC9" w14:paraId="2084DAE4" w14:textId="77777777" w:rsidTr="00BC2FEB">
        <w:trPr>
          <w:trHeight w:val="283"/>
        </w:trPr>
        <w:tc>
          <w:tcPr>
            <w:tcW w:w="2318" w:type="pct"/>
          </w:tcPr>
          <w:p w14:paraId="26D33847" w14:textId="77777777" w:rsidR="00661254" w:rsidRPr="006F3F4D" w:rsidRDefault="00606FEC" w:rsidP="00BC2FEB">
            <w:pPr>
              <w:pStyle w:val="TTTableText"/>
              <w:spacing w:before="120" w:after="120"/>
            </w:pPr>
            <w:r w:rsidRPr="006F3F4D">
              <w:t>Corporate ownership</w:t>
            </w:r>
          </w:p>
        </w:tc>
        <w:tc>
          <w:tcPr>
            <w:tcW w:w="2682" w:type="pct"/>
          </w:tcPr>
          <w:p w14:paraId="1022C24E" w14:textId="77777777" w:rsidR="00661254" w:rsidRPr="00BC2FEB" w:rsidRDefault="00606FEC" w:rsidP="00BC2FEB">
            <w:pPr>
              <w:pStyle w:val="TTTableText"/>
              <w:spacing w:before="120" w:after="120"/>
            </w:pPr>
            <w:r w:rsidRPr="00BC2FEB">
              <w:t>0.8%</w:t>
            </w:r>
          </w:p>
        </w:tc>
      </w:tr>
      <w:tr w:rsidR="00606FEC" w:rsidRPr="00061AC9" w14:paraId="57DFD8C1" w14:textId="77777777" w:rsidTr="00BC2FEB">
        <w:trPr>
          <w:trHeight w:val="283"/>
        </w:trPr>
        <w:tc>
          <w:tcPr>
            <w:tcW w:w="2318" w:type="pct"/>
          </w:tcPr>
          <w:p w14:paraId="23CE2B48" w14:textId="77777777" w:rsidR="00661254" w:rsidRPr="006F3F4D" w:rsidRDefault="00606FEC" w:rsidP="00BC2FEB">
            <w:pPr>
              <w:pStyle w:val="TTTableText"/>
              <w:spacing w:before="120" w:after="120"/>
            </w:pPr>
            <w:r w:rsidRPr="006F3F4D">
              <w:t>Industry effects</w:t>
            </w:r>
          </w:p>
        </w:tc>
        <w:tc>
          <w:tcPr>
            <w:tcW w:w="2682" w:type="pct"/>
          </w:tcPr>
          <w:p w14:paraId="375F2374" w14:textId="77777777" w:rsidR="00661254" w:rsidRPr="00BC2FEB" w:rsidRDefault="00606FEC" w:rsidP="00BC2FEB">
            <w:pPr>
              <w:pStyle w:val="TTTableText"/>
              <w:spacing w:before="120" w:after="120"/>
            </w:pPr>
            <w:r w:rsidRPr="00BC2FEB">
              <w:t>8.3%</w:t>
            </w:r>
          </w:p>
        </w:tc>
      </w:tr>
      <w:tr w:rsidR="00606FEC" w:rsidRPr="00061AC9" w14:paraId="09EC6B8A" w14:textId="77777777" w:rsidTr="00BC2FEB">
        <w:trPr>
          <w:trHeight w:val="283"/>
        </w:trPr>
        <w:tc>
          <w:tcPr>
            <w:tcW w:w="2318" w:type="pct"/>
          </w:tcPr>
          <w:p w14:paraId="418B461F" w14:textId="77777777" w:rsidR="00661254" w:rsidRPr="006F3F4D" w:rsidRDefault="00606FEC" w:rsidP="00BC2FEB">
            <w:pPr>
              <w:pStyle w:val="TTTableText"/>
              <w:spacing w:before="120" w:after="120"/>
            </w:pPr>
            <w:r w:rsidRPr="006F3F4D">
              <w:t>Cyclical effects</w:t>
            </w:r>
          </w:p>
        </w:tc>
        <w:tc>
          <w:tcPr>
            <w:tcW w:w="2682" w:type="pct"/>
          </w:tcPr>
          <w:p w14:paraId="170DDD38" w14:textId="77777777" w:rsidR="00661254" w:rsidRPr="00BC2FEB" w:rsidRDefault="00606FEC" w:rsidP="00BC2FEB">
            <w:pPr>
              <w:pStyle w:val="TTTableText"/>
              <w:spacing w:before="120" w:after="120"/>
            </w:pPr>
            <w:r w:rsidRPr="00BC2FEB">
              <w:t>7.8%</w:t>
            </w:r>
          </w:p>
        </w:tc>
      </w:tr>
      <w:tr w:rsidR="00606FEC" w:rsidRPr="00061AC9" w14:paraId="3025FCB3" w14:textId="77777777" w:rsidTr="00BC2FEB">
        <w:trPr>
          <w:trHeight w:val="283"/>
        </w:trPr>
        <w:tc>
          <w:tcPr>
            <w:tcW w:w="2318" w:type="pct"/>
          </w:tcPr>
          <w:p w14:paraId="4DE63777" w14:textId="77777777" w:rsidR="00661254" w:rsidRPr="006F3F4D" w:rsidRDefault="00606FEC" w:rsidP="00BC2FEB">
            <w:pPr>
              <w:pStyle w:val="TTTableText"/>
              <w:spacing w:before="120" w:after="120"/>
            </w:pPr>
            <w:r w:rsidRPr="006F3F4D">
              <w:t>Business unit specific effects</w:t>
            </w:r>
          </w:p>
        </w:tc>
        <w:tc>
          <w:tcPr>
            <w:tcW w:w="2682" w:type="pct"/>
          </w:tcPr>
          <w:p w14:paraId="13EAC220" w14:textId="77777777" w:rsidR="00661254" w:rsidRPr="00BC2FEB" w:rsidRDefault="00606FEC" w:rsidP="00BC2FEB">
            <w:pPr>
              <w:pStyle w:val="TTTableText"/>
              <w:spacing w:before="120" w:after="120"/>
            </w:pPr>
            <w:r w:rsidRPr="00BC2FEB">
              <w:t>46.4%</w:t>
            </w:r>
          </w:p>
        </w:tc>
      </w:tr>
      <w:tr w:rsidR="00606FEC" w:rsidRPr="00061AC9" w14:paraId="184472D8" w14:textId="77777777" w:rsidTr="00BC2FEB">
        <w:trPr>
          <w:trHeight w:val="283"/>
        </w:trPr>
        <w:tc>
          <w:tcPr>
            <w:tcW w:w="2318" w:type="pct"/>
          </w:tcPr>
          <w:p w14:paraId="3C5C25E9" w14:textId="77777777" w:rsidR="00661254" w:rsidRPr="006F3F4D" w:rsidRDefault="00606FEC" w:rsidP="00BC2FEB">
            <w:pPr>
              <w:pStyle w:val="TTTableText"/>
              <w:spacing w:before="120" w:after="120"/>
            </w:pPr>
            <w:r w:rsidRPr="006F3F4D">
              <w:t>Unexplained factors</w:t>
            </w:r>
          </w:p>
        </w:tc>
        <w:tc>
          <w:tcPr>
            <w:tcW w:w="2682" w:type="pct"/>
          </w:tcPr>
          <w:p w14:paraId="36272F0A" w14:textId="77777777" w:rsidR="00661254" w:rsidRPr="00BC2FEB" w:rsidRDefault="00606FEC" w:rsidP="00BC2FEB">
            <w:pPr>
              <w:pStyle w:val="TTTableText"/>
              <w:spacing w:before="120" w:after="120"/>
            </w:pPr>
            <w:r w:rsidRPr="00BC2FEB">
              <w:t>36.7%</w:t>
            </w:r>
          </w:p>
        </w:tc>
      </w:tr>
      <w:tr w:rsidR="00606FEC" w:rsidRPr="00061AC9" w14:paraId="70538332" w14:textId="77777777" w:rsidTr="00BC2FEB">
        <w:trPr>
          <w:trHeight w:val="283"/>
        </w:trPr>
        <w:tc>
          <w:tcPr>
            <w:tcW w:w="2318" w:type="pct"/>
          </w:tcPr>
          <w:p w14:paraId="14F684A4" w14:textId="77777777" w:rsidR="00661254" w:rsidRPr="006F3F4D" w:rsidRDefault="00606FEC" w:rsidP="00BC2FEB">
            <w:pPr>
              <w:pStyle w:val="TTTableText"/>
              <w:spacing w:before="120" w:after="120"/>
            </w:pPr>
            <w:r w:rsidRPr="006F3F4D">
              <w:t>Total across corporation</w:t>
            </w:r>
          </w:p>
        </w:tc>
        <w:tc>
          <w:tcPr>
            <w:tcW w:w="2682" w:type="pct"/>
          </w:tcPr>
          <w:p w14:paraId="504B3595" w14:textId="77777777" w:rsidR="00661254" w:rsidRPr="00BC2FEB" w:rsidRDefault="00606FEC" w:rsidP="00BC2FEB">
            <w:pPr>
              <w:pStyle w:val="TTTableText"/>
              <w:spacing w:before="120" w:after="120"/>
            </w:pPr>
            <w:r w:rsidRPr="00BC2FEB">
              <w:t>100%</w:t>
            </w:r>
          </w:p>
        </w:tc>
      </w:tr>
    </w:tbl>
    <w:p w14:paraId="4764BD31" w14:textId="657BF7FE" w:rsidR="00661254" w:rsidRPr="006F3F4D" w:rsidRDefault="00F13754" w:rsidP="00BC2FEB">
      <w:pPr>
        <w:pStyle w:val="SOUSource"/>
        <w:rPr>
          <w:lang w:eastAsia="en-GB" w:bidi="ar-SA"/>
        </w:rPr>
      </w:pPr>
      <w:r w:rsidRPr="006F3F4D">
        <w:rPr>
          <w:i/>
        </w:rPr>
        <w:t>Source</w:t>
      </w:r>
      <w:r w:rsidR="00606FEC" w:rsidRPr="006F3F4D">
        <w:t>: See reference.</w:t>
      </w:r>
      <w:r w:rsidRPr="00BC2FEB">
        <w:rPr>
          <w:vertAlign w:val="superscript"/>
        </w:rPr>
        <w:endnoteReference w:id="5"/>
      </w:r>
    </w:p>
    <w:sectPr w:rsidR="00661254" w:rsidRPr="006F3F4D"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1637" w14:textId="77777777" w:rsidR="00081C63" w:rsidRDefault="00081C63" w:rsidP="009C002D">
      <w:pPr>
        <w:spacing w:before="0" w:after="0" w:line="240" w:lineRule="auto"/>
      </w:pPr>
      <w:r>
        <w:separator/>
      </w:r>
    </w:p>
  </w:endnote>
  <w:endnote w:type="continuationSeparator" w:id="0">
    <w:p w14:paraId="3CBEA156" w14:textId="77777777" w:rsidR="00081C63" w:rsidRDefault="00081C63" w:rsidP="009C002D">
      <w:pPr>
        <w:spacing w:before="0" w:after="0" w:line="240" w:lineRule="auto"/>
      </w:pPr>
      <w:r>
        <w:continuationSeparator/>
      </w:r>
    </w:p>
  </w:endnote>
  <w:endnote w:id="1">
    <w:p w14:paraId="13921263" w14:textId="77777777" w:rsidR="00F13754" w:rsidRPr="00BC2FEB" w:rsidRDefault="00661254" w:rsidP="00BC2FEB">
      <w:pPr>
        <w:pStyle w:val="FNTFootnoteText"/>
        <w:rPr>
          <w:szCs w:val="20"/>
        </w:rPr>
      </w:pPr>
      <w:r w:rsidRPr="00BC2FEB">
        <w:rPr>
          <w:rStyle w:val="EndnoteReference"/>
          <w:rFonts w:eastAsia="Times New Roman" w:cs="Times New Roman"/>
          <w:sz w:val="18"/>
          <w:szCs w:val="18"/>
          <w:lang w:bidi="ar-SA"/>
        </w:rPr>
        <w:endnoteRef/>
      </w:r>
      <w:r w:rsidRPr="00BC2FEB">
        <w:t xml:space="preserve"> </w:t>
      </w:r>
      <w:r w:rsidRPr="00BC2FEB">
        <w:tab/>
      </w:r>
      <w:r w:rsidRPr="00BC2FEB">
        <w:rPr>
          <w:szCs w:val="20"/>
        </w:rPr>
        <w:t xml:space="preserve">See also the special edition of the </w:t>
      </w:r>
      <w:r w:rsidRPr="00BC2FEB">
        <w:rPr>
          <w:rStyle w:val="ITAL"/>
          <w:rFonts w:eastAsia="Times New Roman" w:cs="Times New Roman"/>
          <w:iCs/>
          <w:szCs w:val="20"/>
          <w:lang w:bidi="ar-SA"/>
        </w:rPr>
        <w:t>Strategic Management Journal</w:t>
      </w:r>
      <w:r w:rsidRPr="00BC2FEB">
        <w:rPr>
          <w:szCs w:val="20"/>
        </w:rPr>
        <w:t>, 24, October 2003 which has an extended discussion and review of the concept.</w:t>
      </w:r>
    </w:p>
  </w:endnote>
  <w:endnote w:id="2">
    <w:p w14:paraId="65D80979" w14:textId="77777777" w:rsidR="00F13754" w:rsidRPr="00BC2FEB" w:rsidRDefault="00661254" w:rsidP="00BC2FEB">
      <w:pPr>
        <w:pStyle w:val="FNTFootnoteText"/>
        <w:rPr>
          <w:szCs w:val="20"/>
        </w:rPr>
      </w:pPr>
      <w:r w:rsidRPr="00BC2FEB">
        <w:rPr>
          <w:rStyle w:val="EndnoteReference"/>
          <w:rFonts w:eastAsia="Times New Roman" w:cs="Times New Roman"/>
          <w:sz w:val="18"/>
          <w:szCs w:val="18"/>
          <w:lang w:bidi="ar-SA"/>
        </w:rPr>
        <w:endnoteRef/>
      </w:r>
      <w:r w:rsidRPr="00BC2FEB">
        <w:t xml:space="preserve"> </w:t>
      </w:r>
      <w:r w:rsidRPr="00BC2FEB">
        <w:tab/>
      </w:r>
      <w:r w:rsidRPr="00BC2FEB">
        <w:rPr>
          <w:szCs w:val="20"/>
        </w:rPr>
        <w:t xml:space="preserve">Rumelt, R (1991) ‘How much does industry matter?’, </w:t>
      </w:r>
      <w:r w:rsidRPr="00BC2FEB">
        <w:rPr>
          <w:rStyle w:val="ITAL"/>
          <w:rFonts w:eastAsia="Times New Roman" w:cs="Times New Roman"/>
          <w:iCs/>
          <w:szCs w:val="20"/>
          <w:lang w:bidi="ar-SA"/>
        </w:rPr>
        <w:t>Strategic Management Journal</w:t>
      </w:r>
      <w:r w:rsidRPr="00BC2FEB">
        <w:rPr>
          <w:szCs w:val="20"/>
        </w:rPr>
        <w:t>, March, pp64–75.</w:t>
      </w:r>
    </w:p>
  </w:endnote>
  <w:endnote w:id="3">
    <w:p w14:paraId="2BF058ED" w14:textId="77777777" w:rsidR="00F13754" w:rsidRPr="00BC2FEB" w:rsidRDefault="00661254" w:rsidP="00BC2FEB">
      <w:pPr>
        <w:pStyle w:val="FNTFootnoteText"/>
        <w:rPr>
          <w:szCs w:val="20"/>
        </w:rPr>
      </w:pPr>
      <w:r w:rsidRPr="00BC2FEB">
        <w:rPr>
          <w:rStyle w:val="EndnoteReference"/>
          <w:rFonts w:eastAsia="Times New Roman" w:cs="Times New Roman"/>
          <w:sz w:val="18"/>
          <w:szCs w:val="18"/>
          <w:lang w:bidi="ar-SA"/>
        </w:rPr>
        <w:endnoteRef/>
      </w:r>
      <w:r w:rsidRPr="00BC2FEB">
        <w:t xml:space="preserve"> </w:t>
      </w:r>
      <w:r w:rsidRPr="00BC2FEB">
        <w:tab/>
      </w:r>
      <w:r w:rsidRPr="00BC2FEB">
        <w:rPr>
          <w:szCs w:val="20"/>
        </w:rPr>
        <w:t>Rumelt, R (1991) Op. cit.</w:t>
      </w:r>
    </w:p>
  </w:endnote>
  <w:endnote w:id="4">
    <w:p w14:paraId="3E903A24" w14:textId="77777777" w:rsidR="00F13754" w:rsidRPr="00BC2FEB" w:rsidRDefault="00661254" w:rsidP="00BC2FEB">
      <w:pPr>
        <w:pStyle w:val="FNTFootnoteText"/>
        <w:rPr>
          <w:szCs w:val="20"/>
        </w:rPr>
      </w:pPr>
      <w:r w:rsidRPr="00BC2FEB">
        <w:rPr>
          <w:rStyle w:val="EndnoteReference"/>
          <w:rFonts w:eastAsia="Times New Roman" w:cs="Times New Roman"/>
          <w:sz w:val="18"/>
          <w:szCs w:val="18"/>
          <w:lang w:bidi="ar-SA"/>
        </w:rPr>
        <w:endnoteRef/>
      </w:r>
      <w:r w:rsidRPr="00BC2FEB">
        <w:t xml:space="preserve"> </w:t>
      </w:r>
      <w:r w:rsidRPr="00BC2FEB">
        <w:tab/>
      </w:r>
      <w:r w:rsidRPr="00BC2FEB">
        <w:rPr>
          <w:szCs w:val="20"/>
        </w:rPr>
        <w:t xml:space="preserve">McGahan, A and Porter, M E (1997) ‘How much does industry matter, really?’ </w:t>
      </w:r>
      <w:r w:rsidRPr="00BC2FEB">
        <w:rPr>
          <w:rStyle w:val="ITAL"/>
          <w:rFonts w:eastAsia="Times New Roman" w:cs="Times New Roman"/>
          <w:iCs/>
          <w:szCs w:val="20"/>
          <w:lang w:bidi="ar-SA"/>
        </w:rPr>
        <w:t>Strategic Management Journal</w:t>
      </w:r>
      <w:r w:rsidRPr="00BC2FEB">
        <w:rPr>
          <w:szCs w:val="20"/>
        </w:rPr>
        <w:t>, 18, Summer special issue, pp15–30.</w:t>
      </w:r>
    </w:p>
  </w:endnote>
  <w:endnote w:id="5">
    <w:p w14:paraId="3E1339D7" w14:textId="77777777" w:rsidR="00F13754" w:rsidRPr="00061AC9" w:rsidRDefault="00661254" w:rsidP="00BC2FEB">
      <w:pPr>
        <w:pStyle w:val="FNTFootnoteText"/>
      </w:pPr>
      <w:r w:rsidRPr="00BC2FEB">
        <w:rPr>
          <w:rStyle w:val="EndnoteReference"/>
          <w:rFonts w:eastAsia="Times New Roman" w:cs="Times New Roman"/>
          <w:sz w:val="18"/>
          <w:szCs w:val="18"/>
          <w:lang w:bidi="ar-SA"/>
        </w:rPr>
        <w:endnoteRef/>
      </w:r>
      <w:r w:rsidRPr="00BC2FEB">
        <w:t xml:space="preserve"> </w:t>
      </w:r>
      <w:r w:rsidRPr="00BC2FEB">
        <w:tab/>
      </w:r>
      <w:r w:rsidRPr="00BC2FEB">
        <w:rPr>
          <w:spacing w:val="-1"/>
          <w:szCs w:val="20"/>
        </w:rPr>
        <w:t>See, for example, Newbert, S L (2007) ‘Empirical research</w:t>
      </w:r>
      <w:r w:rsidRPr="00BC2FEB">
        <w:rPr>
          <w:szCs w:val="20"/>
        </w:rPr>
        <w:t xml:space="preserve"> on the resource-based view of the firm: an assessment and suggestions for future research’, </w:t>
      </w:r>
      <w:r w:rsidRPr="00BC2FEB">
        <w:rPr>
          <w:rStyle w:val="ITAL"/>
          <w:rFonts w:eastAsia="Times New Roman" w:cs="Times New Roman"/>
          <w:iCs/>
          <w:szCs w:val="20"/>
          <w:lang w:bidi="ar-SA"/>
        </w:rPr>
        <w:t xml:space="preserve">Strategic Management </w:t>
      </w:r>
      <w:r w:rsidRPr="00BC2FEB">
        <w:rPr>
          <w:rStyle w:val="ITAL"/>
          <w:rFonts w:eastAsia="Times New Roman" w:cs="Times New Roman"/>
          <w:iCs/>
          <w:spacing w:val="-1"/>
          <w:szCs w:val="20"/>
          <w:lang w:bidi="ar-SA"/>
        </w:rPr>
        <w:t>Journal</w:t>
      </w:r>
      <w:r w:rsidRPr="00BC2FEB">
        <w:rPr>
          <w:spacing w:val="-1"/>
          <w:szCs w:val="20"/>
        </w:rPr>
        <w:t>, Vol 28, pp121–146. See also Misagnyi, V F, Elms</w:t>
      </w:r>
      <w:r w:rsidRPr="00BC2FEB">
        <w:rPr>
          <w:szCs w:val="20"/>
        </w:rPr>
        <w:t xml:space="preserve">, H, Greckhamer, T and Lepine, J A (2006) ‘A new perspective on a fundamental debate: a multilevel approach to industry, corporate and business unit effects’, </w:t>
      </w:r>
      <w:r w:rsidRPr="00BC2FEB">
        <w:rPr>
          <w:rStyle w:val="ITAL"/>
          <w:rFonts w:eastAsia="Times New Roman" w:cs="Times New Roman"/>
          <w:iCs/>
          <w:szCs w:val="20"/>
          <w:lang w:bidi="ar-SA"/>
        </w:rPr>
        <w:t>Strategic Management</w:t>
      </w:r>
      <w:r w:rsidRPr="00BC2FEB">
        <w:rPr>
          <w:szCs w:val="20"/>
        </w:rPr>
        <w:t xml:space="preserve"> </w:t>
      </w:r>
      <w:r w:rsidRPr="00BC2FEB">
        <w:rPr>
          <w:rStyle w:val="ITAL"/>
          <w:rFonts w:eastAsia="Times New Roman" w:cs="Times New Roman"/>
          <w:iCs/>
          <w:szCs w:val="20"/>
          <w:lang w:bidi="ar-SA"/>
        </w:rPr>
        <w:t>Journal</w:t>
      </w:r>
      <w:r w:rsidRPr="00BC2FEB">
        <w:rPr>
          <w:szCs w:val="20"/>
        </w:rPr>
        <w:t>, Vol 27, pp571–590.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082C" w14:textId="77777777" w:rsidR="00081C63" w:rsidRDefault="00081C63" w:rsidP="009C002D">
      <w:pPr>
        <w:spacing w:before="0" w:after="0" w:line="240" w:lineRule="auto"/>
      </w:pPr>
      <w:r>
        <w:separator/>
      </w:r>
    </w:p>
  </w:footnote>
  <w:footnote w:type="continuationSeparator" w:id="0">
    <w:p w14:paraId="46572BCF" w14:textId="77777777" w:rsidR="00081C63" w:rsidRDefault="00081C63"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53C1A"/>
    <w:rsid w:val="00061AC9"/>
    <w:rsid w:val="0007001A"/>
    <w:rsid w:val="00071489"/>
    <w:rsid w:val="00077F23"/>
    <w:rsid w:val="000807DD"/>
    <w:rsid w:val="00081C63"/>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03EBA"/>
    <w:rsid w:val="00210948"/>
    <w:rsid w:val="002151AF"/>
    <w:rsid w:val="00241239"/>
    <w:rsid w:val="00252415"/>
    <w:rsid w:val="00270541"/>
    <w:rsid w:val="00290DDB"/>
    <w:rsid w:val="002A1A69"/>
    <w:rsid w:val="002C3155"/>
    <w:rsid w:val="002F7924"/>
    <w:rsid w:val="00311961"/>
    <w:rsid w:val="00364E3E"/>
    <w:rsid w:val="0036525A"/>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06FEC"/>
    <w:rsid w:val="00617C3F"/>
    <w:rsid w:val="00623ADF"/>
    <w:rsid w:val="00643AC9"/>
    <w:rsid w:val="00661254"/>
    <w:rsid w:val="006667CE"/>
    <w:rsid w:val="00682B77"/>
    <w:rsid w:val="006908E6"/>
    <w:rsid w:val="006A3656"/>
    <w:rsid w:val="006A4EDF"/>
    <w:rsid w:val="006C5B83"/>
    <w:rsid w:val="006E1DA7"/>
    <w:rsid w:val="006E272A"/>
    <w:rsid w:val="006E5276"/>
    <w:rsid w:val="006F3F4D"/>
    <w:rsid w:val="0070059C"/>
    <w:rsid w:val="00750FA1"/>
    <w:rsid w:val="00777CB4"/>
    <w:rsid w:val="00783AFE"/>
    <w:rsid w:val="0078730D"/>
    <w:rsid w:val="00790019"/>
    <w:rsid w:val="007F1540"/>
    <w:rsid w:val="008225B8"/>
    <w:rsid w:val="00824166"/>
    <w:rsid w:val="00827133"/>
    <w:rsid w:val="00833BF8"/>
    <w:rsid w:val="00837454"/>
    <w:rsid w:val="00860F3E"/>
    <w:rsid w:val="008761DA"/>
    <w:rsid w:val="0089158D"/>
    <w:rsid w:val="008915CA"/>
    <w:rsid w:val="008C7B9D"/>
    <w:rsid w:val="008D009E"/>
    <w:rsid w:val="00901432"/>
    <w:rsid w:val="00945D65"/>
    <w:rsid w:val="00962F78"/>
    <w:rsid w:val="00971F00"/>
    <w:rsid w:val="009B4FDA"/>
    <w:rsid w:val="009B512E"/>
    <w:rsid w:val="009C002D"/>
    <w:rsid w:val="00A03D44"/>
    <w:rsid w:val="00A14968"/>
    <w:rsid w:val="00A16EAD"/>
    <w:rsid w:val="00A2038D"/>
    <w:rsid w:val="00A561AE"/>
    <w:rsid w:val="00A6502B"/>
    <w:rsid w:val="00A92CD7"/>
    <w:rsid w:val="00A950B0"/>
    <w:rsid w:val="00AA7C06"/>
    <w:rsid w:val="00AC55B4"/>
    <w:rsid w:val="00AD2007"/>
    <w:rsid w:val="00AD517C"/>
    <w:rsid w:val="00AF4027"/>
    <w:rsid w:val="00B06F7A"/>
    <w:rsid w:val="00B07CB1"/>
    <w:rsid w:val="00B12657"/>
    <w:rsid w:val="00B24CC9"/>
    <w:rsid w:val="00B4066A"/>
    <w:rsid w:val="00B9029D"/>
    <w:rsid w:val="00B91F2C"/>
    <w:rsid w:val="00B94C75"/>
    <w:rsid w:val="00B9744A"/>
    <w:rsid w:val="00BC0DF5"/>
    <w:rsid w:val="00BC2FEB"/>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218B"/>
    <w:rsid w:val="00D53EA4"/>
    <w:rsid w:val="00D66D16"/>
    <w:rsid w:val="00DB1811"/>
    <w:rsid w:val="00DB7F92"/>
    <w:rsid w:val="00DC407A"/>
    <w:rsid w:val="00DC4F4F"/>
    <w:rsid w:val="00DD658B"/>
    <w:rsid w:val="00DE0832"/>
    <w:rsid w:val="00E061B9"/>
    <w:rsid w:val="00E30010"/>
    <w:rsid w:val="00E32426"/>
    <w:rsid w:val="00E344AF"/>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3754"/>
    <w:rsid w:val="00F14A9C"/>
    <w:rsid w:val="00F14CE2"/>
    <w:rsid w:val="00F32523"/>
    <w:rsid w:val="00F460DE"/>
    <w:rsid w:val="00F47CD6"/>
    <w:rsid w:val="00F51211"/>
    <w:rsid w:val="00F51665"/>
    <w:rsid w:val="00F54CE1"/>
    <w:rsid w:val="00F91B62"/>
    <w:rsid w:val="00F94130"/>
    <w:rsid w:val="00F947A2"/>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6779E"/>
  <w15:docId w15:val="{A7182744-41D0-4155-AC20-99E4F24D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827133"/>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unhideWhenUsed/>
    <w:rsid w:val="00606FEC"/>
    <w:pPr>
      <w:spacing w:before="0" w:after="0" w:line="24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606FEC"/>
    <w:rPr>
      <w:rFonts w:eastAsia="Times New Roman" w:cs="Times New Roman"/>
      <w:sz w:val="20"/>
      <w:szCs w:val="20"/>
      <w:lang w:val="en-GB" w:bidi="ar-SA"/>
    </w:rPr>
  </w:style>
  <w:style w:type="character" w:styleId="EndnoteReference">
    <w:name w:val="endnote reference"/>
    <w:basedOn w:val="DefaultParagraphFont"/>
    <w:uiPriority w:val="99"/>
    <w:semiHidden/>
    <w:unhideWhenUsed/>
    <w:rsid w:val="00606FEC"/>
    <w:rPr>
      <w:vertAlign w:val="superscript"/>
    </w:rPr>
  </w:style>
  <w:style w:type="character" w:customStyle="1" w:styleId="ITAL">
    <w:name w:val="ITAL"/>
    <w:uiPriority w:val="99"/>
    <w:rsid w:val="00606FEC"/>
    <w:rPr>
      <w:i/>
    </w:rPr>
  </w:style>
  <w:style w:type="paragraph" w:customStyle="1" w:styleId="TITextIndent">
    <w:name w:val="TI Text Indent"/>
    <w:basedOn w:val="Normal"/>
    <w:qFormat/>
    <w:rsid w:val="00860F3E"/>
    <w:pPr>
      <w:ind w:firstLine="360"/>
    </w:pPr>
    <w:rPr>
      <w:rFonts w:ascii="Franklin Gothic Book" w:hAnsi="Franklin Gothic Book"/>
      <w:sz w:val="22"/>
    </w:rPr>
  </w:style>
  <w:style w:type="paragraph" w:customStyle="1" w:styleId="TCHTableColumnHead">
    <w:name w:val="TCH Table Column Head"/>
    <w:basedOn w:val="Normal"/>
    <w:qFormat/>
    <w:rsid w:val="00860F3E"/>
    <w:pPr>
      <w:spacing w:before="0" w:after="240" w:line="240" w:lineRule="auto"/>
    </w:pPr>
    <w:rPr>
      <w:rFonts w:ascii="Franklin Gothic Book" w:hAnsi="Franklin Gothic Book"/>
      <w:sz w:val="20"/>
    </w:rPr>
  </w:style>
  <w:style w:type="paragraph" w:customStyle="1" w:styleId="TTTableText">
    <w:name w:val="TT Table Text"/>
    <w:basedOn w:val="TFTextFullOut"/>
    <w:qFormat/>
    <w:rsid w:val="00860F3E"/>
    <w:pPr>
      <w:spacing w:before="0"/>
    </w:pPr>
    <w:rPr>
      <w:sz w:val="20"/>
    </w:rPr>
  </w:style>
  <w:style w:type="table" w:styleId="TableGrid">
    <w:name w:val="Table Grid"/>
    <w:basedOn w:val="TableNormal"/>
    <w:uiPriority w:val="59"/>
    <w:rsid w:val="00DC4F4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816D-FDBC-4FD8-9F58-A27BAF27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41</cp:revision>
  <dcterms:created xsi:type="dcterms:W3CDTF">2021-08-03T15:21:00Z</dcterms:created>
  <dcterms:modified xsi:type="dcterms:W3CDTF">2021-08-25T16:05:00Z</dcterms:modified>
</cp:coreProperties>
</file>