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C06" w14:textId="6096D1D7" w:rsidR="00C9790F" w:rsidRPr="00C9790F" w:rsidRDefault="00C9790F">
      <w:pPr>
        <w:rPr>
          <w:b/>
          <w:bCs/>
          <w:sz w:val="36"/>
          <w:szCs w:val="36"/>
        </w:rPr>
      </w:pPr>
      <w:r w:rsidRPr="00C9790F">
        <w:rPr>
          <w:b/>
          <w:bCs/>
          <w:sz w:val="36"/>
          <w:szCs w:val="36"/>
        </w:rPr>
        <w:t>TEMPLATE: DEVELOPING A LOGICAL ARGUMENT (WARRANTING UNIT)</w:t>
      </w:r>
    </w:p>
    <w:p w14:paraId="7A203150" w14:textId="77777777" w:rsidR="00C9790F" w:rsidRDefault="00C9790F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1D40BD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8248D3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8248D3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62A27CF6" w:rsidR="00081B13" w:rsidRPr="00DE620C" w:rsidRDefault="00081B13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2: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7F8464DA" w:rsidR="00081B13" w:rsidRPr="00081B13" w:rsidRDefault="001D40BD" w:rsidP="008248D3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3706A5FB" w14:textId="77777777" w:rsidR="007D4E2C" w:rsidRPr="00DE620C" w:rsidRDefault="007D4E2C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51A645B" w14:textId="5E46878D" w:rsidR="007D4E2C" w:rsidRPr="00DE620C" w:rsidRDefault="007D4E2C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(issues related to </w:t>
            </w:r>
            <w:r w:rsidR="005A4E2A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topic)</w:t>
            </w:r>
          </w:p>
        </w:tc>
        <w:tc>
          <w:tcPr>
            <w:tcW w:w="2565" w:type="pct"/>
          </w:tcPr>
          <w:p w14:paraId="60F55769" w14:textId="763C2407" w:rsidR="007D4E2C" w:rsidRDefault="007D4E2C" w:rsidP="008248D3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603566B2" w14:textId="77777777" w:rsidR="007D4E2C" w:rsidRDefault="007D4E2C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0D2320F0" w14:textId="77777777" w:rsidR="00834A65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81E2312" w14:textId="2860C643" w:rsidR="007D4E2C" w:rsidRDefault="007D4E2C" w:rsidP="008248D3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3088A631" w14:textId="77777777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1F6DD706" w:rsidR="007D4E2C" w:rsidRPr="00DE620C" w:rsidRDefault="007D4E2C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</w:t>
            </w:r>
            <w:r w:rsidR="005A4E2A">
              <w:rPr>
                <w:lang w:val="en-US"/>
              </w:rPr>
              <w:t>concepts and maybe the framework for studying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1ED5D73A" w14:textId="16201BD8" w:rsidR="007D4E2C" w:rsidRDefault="007D4E2C" w:rsidP="008248D3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37FC5EBA" w14:textId="77777777" w:rsidR="007D4E2C" w:rsidRDefault="007D4E2C" w:rsidP="008248D3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6B646B3C" w14:textId="77777777" w:rsidR="00834A65" w:rsidRPr="00DE620C" w:rsidRDefault="00834A65" w:rsidP="008248D3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9252CA7" w14:textId="4EA3BD8D" w:rsidR="007D4E2C" w:rsidRDefault="007D4E2C" w:rsidP="008248D3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35B9442E" w14:textId="00194EFB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310C2A4C" w:rsidR="007D4E2C" w:rsidRPr="00DE620C" w:rsidRDefault="007D4E2C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3: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0377FE24" w:rsidR="007D4E2C" w:rsidRPr="007D4E2C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643CAE">
              <w:rPr>
                <w:bCs/>
                <w:i/>
                <w:iCs/>
                <w:lang w:val="en-US"/>
              </w:rPr>
              <w:t>generat</w:t>
            </w:r>
            <w:r w:rsidR="007D4E2C" w:rsidRPr="007D4E2C">
              <w:rPr>
                <w:bCs/>
                <w:i/>
                <w:iCs/>
                <w:lang w:val="en-US"/>
              </w:rPr>
              <w:t>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2C57C492" w:rsidR="007F4D37" w:rsidRPr="00DE620C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(issues relating to the methodology and methods</w:t>
            </w:r>
            <w:r w:rsidR="007A69B0">
              <w:rPr>
                <w:lang w:val="en-US"/>
              </w:rPr>
              <w:t xml:space="preserve"> for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62C1BB35" w14:textId="7D0CBF25" w:rsidR="007F4D37" w:rsidRDefault="007F4D37" w:rsidP="008248D3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question(s), methodological aim:</w:t>
            </w:r>
          </w:p>
          <w:p w14:paraId="3469C019" w14:textId="77777777" w:rsidR="007F4D37" w:rsidRDefault="007F4D37" w:rsidP="008248D3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712F881A" w14:textId="77777777" w:rsidR="00834A65" w:rsidRPr="00DE620C" w:rsidRDefault="00834A65" w:rsidP="008248D3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EEB7A49" w14:textId="4961D591" w:rsidR="007F4D37" w:rsidRDefault="007F4D37" w:rsidP="008248D3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4620FA0A" w14:textId="3D37BAD8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E92FAC" w:rsidR="00697B4D" w:rsidRPr="00DE620C" w:rsidRDefault="00697B4D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Research questions for </w:t>
            </w:r>
            <w:r w:rsidR="005A4E2A">
              <w:rPr>
                <w:lang w:val="en-US"/>
              </w:rPr>
              <w:t>this focus within</w:t>
            </w:r>
            <w:r w:rsidRPr="00DE620C">
              <w:rPr>
                <w:lang w:val="en-US"/>
              </w:rPr>
              <w:t xml:space="preserve"> the substantive aim</w:t>
            </w:r>
          </w:p>
          <w:p w14:paraId="730F0EED" w14:textId="77777777" w:rsidR="00697B4D" w:rsidRPr="00DE620C" w:rsidRDefault="00697B4D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8248D3">
            <w:pPr>
              <w:pStyle w:val="TTTableText"/>
              <w:numPr>
                <w:ilvl w:val="0"/>
                <w:numId w:val="13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097A80B2" w:rsidR="007F4D37" w:rsidRPr="00DE620C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Sample: relevant to </w:t>
            </w:r>
            <w:r w:rsidR="005A4E2A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7C3E0504" w14:textId="77777777" w:rsidR="007F4D37" w:rsidRPr="00DE620C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3DE39FF1" w14:textId="77777777" w:rsidR="00834A65" w:rsidRPr="00DE620C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C1A38A4" w14:textId="72167C2E" w:rsidR="007F4D37" w:rsidRDefault="007F4D37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7253766B" w14:textId="5F20A694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CB14E4" w:rsidRPr="00DE620C" w14:paraId="7DB1FD80" w14:textId="77777777" w:rsidTr="00EE5FCA">
        <w:trPr>
          <w:trHeight w:val="1692"/>
        </w:trPr>
        <w:tc>
          <w:tcPr>
            <w:tcW w:w="2435" w:type="pct"/>
          </w:tcPr>
          <w:p w14:paraId="05B51506" w14:textId="5EB87539" w:rsidR="00CB14E4" w:rsidRPr="00DE620C" w:rsidRDefault="00CB14E4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Data collection instruments: relevant to </w:t>
            </w:r>
            <w:r w:rsidR="007A69B0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0EF4467F" w14:textId="77777777" w:rsidR="00CB14E4" w:rsidRPr="00DE620C" w:rsidRDefault="00CB14E4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0C2BB5F" w14:textId="77777777" w:rsidR="00834A65" w:rsidRPr="00DE620C" w:rsidRDefault="00834A65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BA29E20" w14:textId="1E61FECB" w:rsidR="00CB14E4" w:rsidRDefault="00CB14E4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0246A370" w14:textId="77777777" w:rsidR="00CB14E4" w:rsidRPr="00DE620C" w:rsidRDefault="00CB14E4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3899053F" w14:textId="77777777" w:rsidR="00CB14E4" w:rsidRDefault="00CB14E4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2E9D953" w14:textId="77777777" w:rsidR="00CB14E4" w:rsidRPr="00DE620C" w:rsidRDefault="00CB14E4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E869436" w14:textId="77777777" w:rsidR="00CB14E4" w:rsidRDefault="00CB14E4" w:rsidP="008248D3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C413C45" w14:textId="616B10A2" w:rsidR="00CB14E4" w:rsidRPr="00DE620C" w:rsidRDefault="00CB14E4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4BF02FF8" w:rsidR="00A24507" w:rsidRPr="00DE620C" w:rsidRDefault="00A24507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4: Findings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2E262C87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070B3B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</w:t>
            </w:r>
            <w:r w:rsidR="00C60A33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383CD216" w14:textId="77777777" w:rsidR="00834A65" w:rsidRPr="00DE620C" w:rsidRDefault="00834A65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8248D3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1869CFF" w14:textId="77777777" w:rsidR="00834A65" w:rsidRPr="00DE620C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7FE89DC1" w14:textId="77777777" w:rsidR="00834A65" w:rsidRDefault="00834A65" w:rsidP="008248D3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the organization of the presentation of the findings is </w:t>
            </w:r>
            <w:proofErr w:type="spellStart"/>
            <w:r w:rsidRPr="00DE620C">
              <w:rPr>
                <w:lang w:val="en-US"/>
              </w:rPr>
              <w:t>signalled</w:t>
            </w:r>
            <w:proofErr w:type="spellEnd"/>
            <w:r w:rsidRPr="00DE620C">
              <w:rPr>
                <w:lang w:val="en-US"/>
              </w:rPr>
              <w:t xml:space="preserve"> to readers:</w:t>
            </w:r>
          </w:p>
          <w:p w14:paraId="46F6BF8E" w14:textId="77777777" w:rsidR="00834A65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21D543D" w14:textId="77777777" w:rsidR="00834A65" w:rsidRPr="00DE620C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6CB7A94A" w14:textId="77777777" w:rsidR="00834A65" w:rsidRDefault="00834A65" w:rsidP="008248D3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that </w:t>
            </w:r>
            <w:proofErr w:type="gramStart"/>
            <w:r w:rsidRPr="00DE620C">
              <w:rPr>
                <w:lang w:val="en-US"/>
              </w:rPr>
              <w:t>particular findings</w:t>
            </w:r>
            <w:proofErr w:type="gramEnd"/>
            <w:r w:rsidRPr="00DE620C">
              <w:rPr>
                <w:lang w:val="en-US"/>
              </w:rPr>
              <w:t xml:space="preserve"> give to each research question:</w:t>
            </w:r>
          </w:p>
          <w:p w14:paraId="3BEC8F2E" w14:textId="77777777" w:rsidR="00834A65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0547095" w14:textId="19F8FEE9" w:rsidR="00834A65" w:rsidRPr="00DE620C" w:rsidRDefault="00834A65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26AFA22C" w:rsidR="00834A65" w:rsidRPr="00DE620C" w:rsidRDefault="00834A65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5: Discussion of Findings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59426889" w:rsidR="00BD25E8" w:rsidRPr="00DE620C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  <w:r w:rsidR="00C60A33">
              <w:rPr>
                <w:lang w:val="en-US"/>
              </w:rPr>
              <w:t xml:space="preserve"> as relevant to this focus</w:t>
            </w:r>
          </w:p>
          <w:p w14:paraId="4A41E219" w14:textId="77777777" w:rsidR="00BD25E8" w:rsidRPr="00DE620C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8248D3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contribution that </w:t>
            </w:r>
            <w:proofErr w:type="gramStart"/>
            <w:r w:rsidRPr="00DE620C">
              <w:rPr>
                <w:lang w:val="en-US"/>
              </w:rPr>
              <w:t>answers to</w:t>
            </w:r>
            <w:proofErr w:type="gramEnd"/>
            <w:r w:rsidRPr="00DE620C">
              <w:rPr>
                <w:lang w:val="en-US"/>
              </w:rPr>
              <w:t xml:space="preserve"> the research questions </w:t>
            </w:r>
            <w:proofErr w:type="gramStart"/>
            <w:r w:rsidRPr="00DE620C">
              <w:rPr>
                <w:lang w:val="en-US"/>
              </w:rPr>
              <w:t>make</w:t>
            </w:r>
            <w:proofErr w:type="gramEnd"/>
            <w:r w:rsidRPr="00DE620C">
              <w:rPr>
                <w:lang w:val="en-US"/>
              </w:rPr>
              <w:t xml:space="preserve"> to achieving the substantive aim:</w:t>
            </w:r>
          </w:p>
          <w:p w14:paraId="07FCED1B" w14:textId="77777777" w:rsidR="00BD25E8" w:rsidRDefault="00BD25E8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244DDBC5" w14:textId="77777777" w:rsidR="00BD25E8" w:rsidRDefault="00BD25E8" w:rsidP="008248D3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D98B3CD" w14:textId="77777777" w:rsidR="00BD25E8" w:rsidRDefault="00BD25E8" w:rsidP="008248D3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23C9E4B3" w14:textId="77777777" w:rsidR="00BD25E8" w:rsidRPr="00DE620C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193D9847" w14:textId="77777777" w:rsidR="00BD25E8" w:rsidRDefault="00BD25E8" w:rsidP="008248D3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5C8BB551" w14:textId="0636835D" w:rsidR="00BD25E8" w:rsidRPr="00DE620C" w:rsidRDefault="00BD25E8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Theoretical aim, methodological aim:</w:t>
            </w:r>
          </w:p>
          <w:p w14:paraId="34432147" w14:textId="77777777" w:rsidR="00BD25E8" w:rsidRPr="00DE620C" w:rsidRDefault="00BD25E8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8248D3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7BC4EEC8" w14:textId="77777777" w:rsidR="00402D67" w:rsidRPr="00DE620C" w:rsidRDefault="00402D6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295449BB" w14:textId="77777777" w:rsidR="00BD25E8" w:rsidRDefault="00BD25E8" w:rsidP="008248D3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0E607EC2" w14:textId="415526B7" w:rsidR="00402D67" w:rsidRPr="00DE620C" w:rsidRDefault="00402D67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64830662" w:rsidR="000A656B" w:rsidRPr="00DE620C" w:rsidRDefault="000A656B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6: Conclusion</w:t>
            </w:r>
            <w:r w:rsidR="00C60A33">
              <w:rPr>
                <w:b/>
                <w:lang w:val="en-US"/>
              </w:rPr>
              <w:t xml:space="preserve"> (this focus, linking to the next chapter)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C63C6F6" w:rsidR="00697B4D" w:rsidRPr="00DE620C" w:rsidRDefault="00C60A33" w:rsidP="008248D3">
            <w:pPr>
              <w:pStyle w:val="TTTableText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For this focus: k</w:t>
            </w:r>
            <w:r w:rsidR="00697B4D" w:rsidRPr="00DE620C">
              <w:rPr>
                <w:lang w:val="en-US"/>
              </w:rPr>
              <w:t>nowledge gained</w:t>
            </w:r>
          </w:p>
        </w:tc>
        <w:tc>
          <w:tcPr>
            <w:tcW w:w="2565" w:type="pct"/>
          </w:tcPr>
          <w:p w14:paraId="041E915A" w14:textId="0068B06D" w:rsidR="00697B4D" w:rsidRDefault="00697B4D" w:rsidP="008248D3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Summative claim stating what knowledge the research has generated about </w:t>
            </w:r>
            <w:r w:rsidR="00C60A33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topic:</w:t>
            </w:r>
          </w:p>
          <w:p w14:paraId="51A9FF54" w14:textId="77777777" w:rsidR="000A656B" w:rsidRDefault="000A656B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77653FD" w14:textId="77777777" w:rsidR="000A656B" w:rsidRPr="00DE620C" w:rsidRDefault="000A656B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0A656B" w:rsidRPr="00DE620C" w14:paraId="65C1EA79" w14:textId="77777777" w:rsidTr="00C60A33">
        <w:trPr>
          <w:trHeight w:val="1581"/>
        </w:trPr>
        <w:tc>
          <w:tcPr>
            <w:tcW w:w="2435" w:type="pct"/>
          </w:tcPr>
          <w:p w14:paraId="0A3BF39B" w14:textId="77777777" w:rsidR="000A656B" w:rsidRPr="00DE620C" w:rsidRDefault="000A656B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58E38CC1" w:rsidR="000A656B" w:rsidRDefault="000A656B" w:rsidP="008248D3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far the research questions </w:t>
            </w:r>
            <w:r w:rsidR="00C60A33">
              <w:rPr>
                <w:lang w:val="en-US"/>
              </w:rPr>
              <w:t xml:space="preserve">for this focus </w:t>
            </w:r>
            <w:r w:rsidRPr="00DE620C">
              <w:rPr>
                <w:lang w:val="en-US"/>
              </w:rPr>
              <w:t xml:space="preserve">have been answered and </w:t>
            </w:r>
            <w:r w:rsidR="00C60A33">
              <w:rPr>
                <w:lang w:val="en-US"/>
              </w:rPr>
              <w:t xml:space="preserve">their contribution to </w:t>
            </w:r>
            <w:r w:rsidRPr="00DE620C">
              <w:rPr>
                <w:lang w:val="en-US"/>
              </w:rPr>
              <w:t>the substantive aim achieved:</w:t>
            </w:r>
          </w:p>
          <w:p w14:paraId="2A1107AA" w14:textId="77777777" w:rsidR="000A656B" w:rsidRDefault="000A656B" w:rsidP="008248D3">
            <w:pPr>
              <w:pStyle w:val="TTTableText"/>
              <w:spacing w:line="240" w:lineRule="auto"/>
              <w:rPr>
                <w:lang w:val="en-US"/>
              </w:rPr>
            </w:pPr>
          </w:p>
          <w:p w14:paraId="38FD3AB4" w14:textId="38ED2362" w:rsidR="000A656B" w:rsidRPr="00DE620C" w:rsidRDefault="000A656B" w:rsidP="008248D3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4B92F8FE" w:rsidR="00697B4D" w:rsidRPr="00DE620C" w:rsidRDefault="00697B4D" w:rsidP="008248D3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Implications for </w:t>
            </w:r>
            <w:r w:rsidR="00C60A33">
              <w:rPr>
                <w:lang w:val="en-US"/>
              </w:rPr>
              <w:t>the next focus or for the conclusion chapter</w:t>
            </w:r>
          </w:p>
        </w:tc>
        <w:tc>
          <w:tcPr>
            <w:tcW w:w="2565" w:type="pct"/>
          </w:tcPr>
          <w:p w14:paraId="48618178" w14:textId="16A655ED" w:rsidR="00697B4D" w:rsidRDefault="00C60A33" w:rsidP="008248D3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>
              <w:rPr>
                <w:lang w:val="en-US"/>
              </w:rPr>
              <w:t>How the findings for this focus and their implications for literature inform the next focus or contribute to the conclusion of the overall argument:</w:t>
            </w:r>
          </w:p>
          <w:p w14:paraId="235E7A42" w14:textId="77777777" w:rsidR="00C60A33" w:rsidRDefault="00C60A33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54493A6" w14:textId="738D461E" w:rsidR="00C60A33" w:rsidRPr="00DE620C" w:rsidRDefault="00C60A33" w:rsidP="008248D3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</w:tbl>
    <w:p w14:paraId="5ECBAD6B" w14:textId="77777777" w:rsidR="003C65C8" w:rsidRDefault="003C65C8" w:rsidP="008248D3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oulos SI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charset w:val="00"/>
    <w:family w:val="auto"/>
    <w:pitch w:val="variable"/>
    <w:sig w:usb0="E00002FF" w:usb1="5000785B" w:usb2="00000000" w:usb3="00000000" w:csb0="0000019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8802C3"/>
    <w:multiLevelType w:val="hybridMultilevel"/>
    <w:tmpl w:val="19320C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A352A85"/>
    <w:multiLevelType w:val="hybridMultilevel"/>
    <w:tmpl w:val="71A08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0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5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D8E"/>
    <w:multiLevelType w:val="multilevel"/>
    <w:tmpl w:val="F62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6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7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8" w15:restartNumberingAfterBreak="0">
    <w:nsid w:val="4BEE1B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1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6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9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0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25A0"/>
    <w:multiLevelType w:val="hybridMultilevel"/>
    <w:tmpl w:val="689A44BA"/>
    <w:lvl w:ilvl="0" w:tplc="7766E11A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83D0B"/>
    <w:multiLevelType w:val="hybridMultilevel"/>
    <w:tmpl w:val="2862B32A"/>
    <w:lvl w:ilvl="0" w:tplc="CA965E0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472890">
    <w:abstractNumId w:val="45"/>
  </w:num>
  <w:num w:numId="2" w16cid:durableId="1110662409">
    <w:abstractNumId w:val="15"/>
  </w:num>
  <w:num w:numId="3" w16cid:durableId="803691286">
    <w:abstractNumId w:val="23"/>
  </w:num>
  <w:num w:numId="4" w16cid:durableId="1868907093">
    <w:abstractNumId w:val="23"/>
  </w:num>
  <w:num w:numId="5" w16cid:durableId="14890265">
    <w:abstractNumId w:val="3"/>
  </w:num>
  <w:num w:numId="6" w16cid:durableId="39667602">
    <w:abstractNumId w:val="47"/>
  </w:num>
  <w:num w:numId="7" w16cid:durableId="1647468828">
    <w:abstractNumId w:val="35"/>
  </w:num>
  <w:num w:numId="8" w16cid:durableId="1189107071">
    <w:abstractNumId w:val="10"/>
  </w:num>
  <w:num w:numId="9" w16cid:durableId="666130417">
    <w:abstractNumId w:val="19"/>
  </w:num>
  <w:num w:numId="10" w16cid:durableId="2053262984">
    <w:abstractNumId w:val="24"/>
  </w:num>
  <w:num w:numId="11" w16cid:durableId="1825589341">
    <w:abstractNumId w:val="18"/>
  </w:num>
  <w:num w:numId="12" w16cid:durableId="1293248291">
    <w:abstractNumId w:val="30"/>
  </w:num>
  <w:num w:numId="13" w16cid:durableId="39205530">
    <w:abstractNumId w:val="42"/>
  </w:num>
  <w:num w:numId="14" w16cid:durableId="1811702679">
    <w:abstractNumId w:val="25"/>
  </w:num>
  <w:num w:numId="15" w16cid:durableId="1442870774">
    <w:abstractNumId w:val="7"/>
  </w:num>
  <w:num w:numId="16" w16cid:durableId="674773224">
    <w:abstractNumId w:val="2"/>
  </w:num>
  <w:num w:numId="17" w16cid:durableId="1723477655">
    <w:abstractNumId w:val="6"/>
  </w:num>
  <w:num w:numId="18" w16cid:durableId="103617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873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71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168329">
    <w:abstractNumId w:val="35"/>
  </w:num>
  <w:num w:numId="22" w16cid:durableId="2038433365">
    <w:abstractNumId w:val="5"/>
  </w:num>
  <w:num w:numId="23" w16cid:durableId="756638100">
    <w:abstractNumId w:val="35"/>
  </w:num>
  <w:num w:numId="24" w16cid:durableId="1203248357">
    <w:abstractNumId w:val="10"/>
  </w:num>
  <w:num w:numId="25" w16cid:durableId="552274039">
    <w:abstractNumId w:val="10"/>
  </w:num>
  <w:num w:numId="26" w16cid:durableId="1761364694">
    <w:abstractNumId w:val="10"/>
  </w:num>
  <w:num w:numId="27" w16cid:durableId="651299703">
    <w:abstractNumId w:val="19"/>
  </w:num>
  <w:num w:numId="28" w16cid:durableId="279648431">
    <w:abstractNumId w:val="19"/>
  </w:num>
  <w:num w:numId="29" w16cid:durableId="484010544">
    <w:abstractNumId w:val="19"/>
  </w:num>
  <w:num w:numId="30" w16cid:durableId="96564263">
    <w:abstractNumId w:val="24"/>
  </w:num>
  <w:num w:numId="31" w16cid:durableId="1014959625">
    <w:abstractNumId w:val="16"/>
  </w:num>
  <w:num w:numId="32" w16cid:durableId="689189107">
    <w:abstractNumId w:val="38"/>
  </w:num>
  <w:num w:numId="33" w16cid:durableId="314994519">
    <w:abstractNumId w:val="18"/>
  </w:num>
  <w:num w:numId="34" w16cid:durableId="708991483">
    <w:abstractNumId w:val="20"/>
  </w:num>
  <w:num w:numId="35" w16cid:durableId="1072659429">
    <w:abstractNumId w:val="39"/>
  </w:num>
  <w:num w:numId="36" w16cid:durableId="1006322735">
    <w:abstractNumId w:val="42"/>
  </w:num>
  <w:num w:numId="37" w16cid:durableId="164324213">
    <w:abstractNumId w:val="42"/>
  </w:num>
  <w:num w:numId="38" w16cid:durableId="1315838488">
    <w:abstractNumId w:val="42"/>
  </w:num>
  <w:num w:numId="39" w16cid:durableId="789276313">
    <w:abstractNumId w:val="24"/>
  </w:num>
  <w:num w:numId="40" w16cid:durableId="952636654">
    <w:abstractNumId w:val="24"/>
  </w:num>
  <w:num w:numId="41" w16cid:durableId="469831195">
    <w:abstractNumId w:val="29"/>
  </w:num>
  <w:num w:numId="42" w16cid:durableId="1250503627">
    <w:abstractNumId w:val="27"/>
  </w:num>
  <w:num w:numId="43" w16cid:durableId="1431120702">
    <w:abstractNumId w:val="26"/>
  </w:num>
  <w:num w:numId="44" w16cid:durableId="388386297">
    <w:abstractNumId w:val="0"/>
  </w:num>
  <w:num w:numId="45" w16cid:durableId="127675877">
    <w:abstractNumId w:val="0"/>
  </w:num>
  <w:num w:numId="46" w16cid:durableId="1761103689">
    <w:abstractNumId w:val="0"/>
  </w:num>
  <w:num w:numId="47" w16cid:durableId="1892037245">
    <w:abstractNumId w:val="0"/>
  </w:num>
  <w:num w:numId="48" w16cid:durableId="534584930">
    <w:abstractNumId w:val="0"/>
  </w:num>
  <w:num w:numId="49" w16cid:durableId="1334066995">
    <w:abstractNumId w:val="0"/>
  </w:num>
  <w:num w:numId="50" w16cid:durableId="1494179109">
    <w:abstractNumId w:val="0"/>
  </w:num>
  <w:num w:numId="51" w16cid:durableId="754323436">
    <w:abstractNumId w:val="47"/>
  </w:num>
  <w:num w:numId="52" w16cid:durableId="2041971058">
    <w:abstractNumId w:val="35"/>
  </w:num>
  <w:num w:numId="53" w16cid:durableId="542794092">
    <w:abstractNumId w:val="10"/>
  </w:num>
  <w:num w:numId="54" w16cid:durableId="798189649">
    <w:abstractNumId w:val="19"/>
  </w:num>
  <w:num w:numId="55" w16cid:durableId="733745551">
    <w:abstractNumId w:val="32"/>
  </w:num>
  <w:num w:numId="56" w16cid:durableId="1308432576">
    <w:abstractNumId w:val="18"/>
  </w:num>
  <w:num w:numId="57" w16cid:durableId="622198956">
    <w:abstractNumId w:val="41"/>
  </w:num>
  <w:num w:numId="58" w16cid:durableId="634406021">
    <w:abstractNumId w:val="9"/>
  </w:num>
  <w:num w:numId="59" w16cid:durableId="1967658866">
    <w:abstractNumId w:val="46"/>
  </w:num>
  <w:num w:numId="60" w16cid:durableId="514468090">
    <w:abstractNumId w:val="47"/>
  </w:num>
  <w:num w:numId="61" w16cid:durableId="1025786982">
    <w:abstractNumId w:val="28"/>
  </w:num>
  <w:num w:numId="62" w16cid:durableId="1146124279">
    <w:abstractNumId w:val="33"/>
  </w:num>
  <w:num w:numId="63" w16cid:durableId="460652879">
    <w:abstractNumId w:val="47"/>
  </w:num>
  <w:num w:numId="64" w16cid:durableId="1427262242">
    <w:abstractNumId w:val="35"/>
  </w:num>
  <w:num w:numId="65" w16cid:durableId="282348177">
    <w:abstractNumId w:val="10"/>
  </w:num>
  <w:num w:numId="66" w16cid:durableId="1831364991">
    <w:abstractNumId w:val="19"/>
  </w:num>
  <w:num w:numId="67" w16cid:durableId="14961522">
    <w:abstractNumId w:val="24"/>
  </w:num>
  <w:num w:numId="68" w16cid:durableId="246691207">
    <w:abstractNumId w:val="18"/>
  </w:num>
  <w:num w:numId="69" w16cid:durableId="1110969961">
    <w:abstractNumId w:val="30"/>
  </w:num>
  <w:num w:numId="70" w16cid:durableId="41027898">
    <w:abstractNumId w:val="42"/>
  </w:num>
  <w:num w:numId="71" w16cid:durableId="569997190">
    <w:abstractNumId w:val="25"/>
  </w:num>
  <w:num w:numId="72" w16cid:durableId="581573218">
    <w:abstractNumId w:val="7"/>
  </w:num>
  <w:num w:numId="73" w16cid:durableId="1219051632">
    <w:abstractNumId w:val="2"/>
  </w:num>
  <w:num w:numId="74" w16cid:durableId="1332491473">
    <w:abstractNumId w:val="6"/>
  </w:num>
  <w:num w:numId="75" w16cid:durableId="21202985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6342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57276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47700816">
    <w:abstractNumId w:val="35"/>
  </w:num>
  <w:num w:numId="79" w16cid:durableId="1334648712">
    <w:abstractNumId w:val="5"/>
  </w:num>
  <w:num w:numId="80" w16cid:durableId="1623144676">
    <w:abstractNumId w:val="35"/>
  </w:num>
  <w:num w:numId="81" w16cid:durableId="1183787211">
    <w:abstractNumId w:val="10"/>
  </w:num>
  <w:num w:numId="82" w16cid:durableId="478231771">
    <w:abstractNumId w:val="10"/>
  </w:num>
  <w:num w:numId="83" w16cid:durableId="1505172727">
    <w:abstractNumId w:val="10"/>
  </w:num>
  <w:num w:numId="84" w16cid:durableId="1836069349">
    <w:abstractNumId w:val="19"/>
  </w:num>
  <w:num w:numId="85" w16cid:durableId="1565794737">
    <w:abstractNumId w:val="19"/>
  </w:num>
  <w:num w:numId="86" w16cid:durableId="900333764">
    <w:abstractNumId w:val="19"/>
  </w:num>
  <w:num w:numId="87" w16cid:durableId="25952727">
    <w:abstractNumId w:val="24"/>
  </w:num>
  <w:num w:numId="88" w16cid:durableId="1134786631">
    <w:abstractNumId w:val="16"/>
  </w:num>
  <w:num w:numId="89" w16cid:durableId="546068793">
    <w:abstractNumId w:val="38"/>
  </w:num>
  <w:num w:numId="90" w16cid:durableId="680864045">
    <w:abstractNumId w:val="18"/>
  </w:num>
  <w:num w:numId="91" w16cid:durableId="1746607550">
    <w:abstractNumId w:val="20"/>
  </w:num>
  <w:num w:numId="92" w16cid:durableId="1244879024">
    <w:abstractNumId w:val="39"/>
  </w:num>
  <w:num w:numId="93" w16cid:durableId="160048704">
    <w:abstractNumId w:val="42"/>
  </w:num>
  <w:num w:numId="94" w16cid:durableId="736636917">
    <w:abstractNumId w:val="42"/>
  </w:num>
  <w:num w:numId="95" w16cid:durableId="332685939">
    <w:abstractNumId w:val="42"/>
  </w:num>
  <w:num w:numId="96" w16cid:durableId="509948061">
    <w:abstractNumId w:val="24"/>
  </w:num>
  <w:num w:numId="97" w16cid:durableId="897665150">
    <w:abstractNumId w:val="24"/>
  </w:num>
  <w:num w:numId="98" w16cid:durableId="1472088696">
    <w:abstractNumId w:val="29"/>
  </w:num>
  <w:num w:numId="99" w16cid:durableId="1994135605">
    <w:abstractNumId w:val="27"/>
  </w:num>
  <w:num w:numId="100" w16cid:durableId="1558590146">
    <w:abstractNumId w:val="26"/>
  </w:num>
  <w:num w:numId="101" w16cid:durableId="1886677676">
    <w:abstractNumId w:val="0"/>
  </w:num>
  <w:num w:numId="102" w16cid:durableId="340161458">
    <w:abstractNumId w:val="0"/>
  </w:num>
  <w:num w:numId="103" w16cid:durableId="1421174043">
    <w:abstractNumId w:val="0"/>
  </w:num>
  <w:num w:numId="104" w16cid:durableId="456490929">
    <w:abstractNumId w:val="0"/>
  </w:num>
  <w:num w:numId="105" w16cid:durableId="2089770834">
    <w:abstractNumId w:val="0"/>
  </w:num>
  <w:num w:numId="106" w16cid:durableId="269095352">
    <w:abstractNumId w:val="0"/>
  </w:num>
  <w:num w:numId="107" w16cid:durableId="1614247794">
    <w:abstractNumId w:val="0"/>
  </w:num>
  <w:num w:numId="108" w16cid:durableId="459342291">
    <w:abstractNumId w:val="47"/>
  </w:num>
  <w:num w:numId="109" w16cid:durableId="960457800">
    <w:abstractNumId w:val="35"/>
  </w:num>
  <w:num w:numId="110" w16cid:durableId="1722630984">
    <w:abstractNumId w:val="10"/>
  </w:num>
  <w:num w:numId="111" w16cid:durableId="1634676012">
    <w:abstractNumId w:val="19"/>
  </w:num>
  <w:num w:numId="112" w16cid:durableId="985092091">
    <w:abstractNumId w:val="32"/>
  </w:num>
  <w:num w:numId="113" w16cid:durableId="226964078">
    <w:abstractNumId w:val="18"/>
  </w:num>
  <w:num w:numId="114" w16cid:durableId="1499423428">
    <w:abstractNumId w:val="41"/>
  </w:num>
  <w:num w:numId="115" w16cid:durableId="1071125752">
    <w:abstractNumId w:val="9"/>
  </w:num>
  <w:num w:numId="116" w16cid:durableId="491530286">
    <w:abstractNumId w:val="46"/>
  </w:num>
  <w:num w:numId="117" w16cid:durableId="686828506">
    <w:abstractNumId w:val="47"/>
  </w:num>
  <w:num w:numId="118" w16cid:durableId="77023837">
    <w:abstractNumId w:val="3"/>
  </w:num>
  <w:num w:numId="119" w16cid:durableId="103958873">
    <w:abstractNumId w:val="15"/>
  </w:num>
  <w:num w:numId="120" w16cid:durableId="1703361779">
    <w:abstractNumId w:val="13"/>
  </w:num>
  <w:num w:numId="121" w16cid:durableId="63064953">
    <w:abstractNumId w:val="11"/>
  </w:num>
  <w:num w:numId="122" w16cid:durableId="1742478996">
    <w:abstractNumId w:val="31"/>
  </w:num>
  <w:num w:numId="123" w16cid:durableId="1343164104">
    <w:abstractNumId w:val="8"/>
  </w:num>
  <w:num w:numId="124" w16cid:durableId="372972435">
    <w:abstractNumId w:val="12"/>
  </w:num>
  <w:num w:numId="125" w16cid:durableId="776146518">
    <w:abstractNumId w:val="17"/>
  </w:num>
  <w:num w:numId="126" w16cid:durableId="291249924">
    <w:abstractNumId w:val="1"/>
  </w:num>
  <w:num w:numId="127" w16cid:durableId="124396702">
    <w:abstractNumId w:val="4"/>
  </w:num>
  <w:num w:numId="128" w16cid:durableId="1980765057">
    <w:abstractNumId w:val="40"/>
  </w:num>
  <w:num w:numId="129" w16cid:durableId="675765672">
    <w:abstractNumId w:val="44"/>
  </w:num>
  <w:num w:numId="130" w16cid:durableId="381751839">
    <w:abstractNumId w:val="36"/>
  </w:num>
  <w:num w:numId="131" w16cid:durableId="1074544176">
    <w:abstractNumId w:val="43"/>
  </w:num>
  <w:num w:numId="132" w16cid:durableId="1012801659">
    <w:abstractNumId w:val="22"/>
  </w:num>
  <w:num w:numId="133" w16cid:durableId="20412741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4255"/>
    <w:rsid w:val="00065E70"/>
    <w:rsid w:val="00066239"/>
    <w:rsid w:val="00067090"/>
    <w:rsid w:val="00070B3B"/>
    <w:rsid w:val="000712B7"/>
    <w:rsid w:val="00072E54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66C32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4E2A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2AA7"/>
    <w:rsid w:val="00633759"/>
    <w:rsid w:val="00633D41"/>
    <w:rsid w:val="006362CB"/>
    <w:rsid w:val="006415A3"/>
    <w:rsid w:val="00643CAE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7011A1"/>
    <w:rsid w:val="00702152"/>
    <w:rsid w:val="00704C7A"/>
    <w:rsid w:val="00705EB8"/>
    <w:rsid w:val="00713590"/>
    <w:rsid w:val="00714968"/>
    <w:rsid w:val="00716E76"/>
    <w:rsid w:val="00717BF5"/>
    <w:rsid w:val="007230E0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A69B0"/>
    <w:rsid w:val="007A7194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F043D"/>
    <w:rsid w:val="007F0B31"/>
    <w:rsid w:val="007F259E"/>
    <w:rsid w:val="007F3958"/>
    <w:rsid w:val="007F4D37"/>
    <w:rsid w:val="007F7586"/>
    <w:rsid w:val="0080008B"/>
    <w:rsid w:val="008048F8"/>
    <w:rsid w:val="0080515C"/>
    <w:rsid w:val="00805D4C"/>
    <w:rsid w:val="00806B08"/>
    <w:rsid w:val="00813DAE"/>
    <w:rsid w:val="0081658A"/>
    <w:rsid w:val="00823D57"/>
    <w:rsid w:val="008248D3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0F91"/>
    <w:rsid w:val="00A24507"/>
    <w:rsid w:val="00A306B7"/>
    <w:rsid w:val="00A31F46"/>
    <w:rsid w:val="00A32C61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0E8B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756C"/>
    <w:rsid w:val="00C51CFC"/>
    <w:rsid w:val="00C52C4B"/>
    <w:rsid w:val="00C52D5D"/>
    <w:rsid w:val="00C544C2"/>
    <w:rsid w:val="00C547E3"/>
    <w:rsid w:val="00C55893"/>
    <w:rsid w:val="00C57EB3"/>
    <w:rsid w:val="00C60A33"/>
    <w:rsid w:val="00C65BF1"/>
    <w:rsid w:val="00C67D71"/>
    <w:rsid w:val="00C71AA9"/>
    <w:rsid w:val="00C73565"/>
    <w:rsid w:val="00C760EB"/>
    <w:rsid w:val="00C760F2"/>
    <w:rsid w:val="00C7627F"/>
    <w:rsid w:val="00C76642"/>
    <w:rsid w:val="00C91338"/>
    <w:rsid w:val="00C9790F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26562"/>
    <w:rsid w:val="00D26EEC"/>
    <w:rsid w:val="00D274AD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76A0"/>
    <w:rsid w:val="00E91FB6"/>
    <w:rsid w:val="00E97C04"/>
    <w:rsid w:val="00EA2ED9"/>
    <w:rsid w:val="00EB3E9E"/>
    <w:rsid w:val="00EB5560"/>
    <w:rsid w:val="00EC0EC2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5FCA"/>
    <w:rsid w:val="00EE697A"/>
    <w:rsid w:val="00EF0748"/>
    <w:rsid w:val="00EF1990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E1272"/>
    <w:rsid w:val="00FF20D1"/>
    <w:rsid w:val="00FF42C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118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/>
      <w:b/>
      <w:color w:val="000000"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119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117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109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110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111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97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113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69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95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71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72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3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74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75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76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77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79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88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89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91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92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98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42"/>
      </w:numPr>
    </w:pPr>
  </w:style>
  <w:style w:type="numbering" w:customStyle="1" w:styleId="List51">
    <w:name w:val="List 51"/>
    <w:basedOn w:val="NoList"/>
    <w:rsid w:val="00EC5EEA"/>
    <w:pPr>
      <w:numPr>
        <w:numId w:val="43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107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107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107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107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107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107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107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112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114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115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116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62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120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3418</Characters>
  <Application>Microsoft Office Word</Application>
  <DocSecurity>0</DocSecurity>
  <Lines>170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Alison Wray</cp:lastModifiedBy>
  <cp:revision>4</cp:revision>
  <dcterms:created xsi:type="dcterms:W3CDTF">2025-12-07T14:56:00Z</dcterms:created>
  <dcterms:modified xsi:type="dcterms:W3CDTF">2025-12-07T15:47:00Z</dcterms:modified>
</cp:coreProperties>
</file>