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4B8D" w14:textId="297C0833" w:rsidR="00CE0F8D" w:rsidRDefault="00EB7929" w:rsidP="00671D8D">
      <w:pPr>
        <w:pStyle w:val="Title"/>
      </w:pPr>
      <w:r w:rsidRPr="00C74B05">
        <w:t>Further reading</w:t>
      </w:r>
    </w:p>
    <w:p w14:paraId="04B33D83" w14:textId="77777777" w:rsidR="00CE0F8D" w:rsidRDefault="00EB7929" w:rsidP="00671D8D">
      <w:pPr>
        <w:rPr>
          <w:rFonts w:cstheme="minorHAnsi"/>
          <w:bCs/>
        </w:rPr>
      </w:pPr>
      <w:r>
        <w:rPr>
          <w:rFonts w:cstheme="minorHAnsi"/>
          <w:b/>
        </w:rPr>
        <w:t xml:space="preserve">Title: </w:t>
      </w:r>
      <w:r w:rsidRPr="00C74B05">
        <w:rPr>
          <w:rFonts w:cstheme="minorHAnsi"/>
          <w:bCs/>
        </w:rPr>
        <w:t>The Mode of Invitation for Web Surveys</w:t>
      </w:r>
    </w:p>
    <w:p w14:paraId="6B4B8388" w14:textId="77777777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>This study explores whether a survey invitation in another mode could be an alternative to the common e-mail invitation in a Web survey. Findings showed that a mailed (paper) letter was more effective than e-mail alone.</w:t>
      </w:r>
    </w:p>
    <w:p w14:paraId="4B01FA68" w14:textId="77777777" w:rsidR="00CE0F8D" w:rsidRDefault="00EB7929" w:rsidP="00671D8D">
      <w:pPr>
        <w:rPr>
          <w:rFonts w:cstheme="minorHAnsi"/>
          <w:lang w:eastAsia="en-GB"/>
        </w:rPr>
      </w:pPr>
      <w:r w:rsidRPr="00C74B05">
        <w:rPr>
          <w:rFonts w:cstheme="minorHAnsi"/>
          <w:b/>
        </w:rPr>
        <w:t xml:space="preserve">Citation: </w:t>
      </w:r>
      <w:proofErr w:type="spellStart"/>
      <w:r w:rsidRPr="00C74B05">
        <w:rPr>
          <w:rFonts w:cstheme="minorHAnsi"/>
          <w:lang w:eastAsia="en-GB"/>
        </w:rPr>
        <w:t>Bandilla</w:t>
      </w:r>
      <w:proofErr w:type="spellEnd"/>
      <w:r w:rsidRPr="00C74B05">
        <w:rPr>
          <w:rFonts w:cstheme="minorHAnsi"/>
          <w:lang w:eastAsia="en-GB"/>
        </w:rPr>
        <w:t xml:space="preserve">, W, Couper, MP and </w:t>
      </w:r>
      <w:proofErr w:type="spellStart"/>
      <w:r w:rsidRPr="00C74B05">
        <w:rPr>
          <w:rFonts w:cstheme="minorHAnsi"/>
          <w:lang w:eastAsia="en-GB"/>
        </w:rPr>
        <w:t>Kaczmirek</w:t>
      </w:r>
      <w:proofErr w:type="spellEnd"/>
      <w:r w:rsidRPr="00C74B05">
        <w:rPr>
          <w:rFonts w:cstheme="minorHAnsi"/>
          <w:lang w:eastAsia="en-GB"/>
        </w:rPr>
        <w:t>, L ‘The mode of invitation for web surveys</w:t>
      </w:r>
      <w:proofErr w:type="gramStart"/>
      <w:r w:rsidRPr="00C74B05">
        <w:rPr>
          <w:rFonts w:cstheme="minorHAnsi"/>
          <w:lang w:eastAsia="en-GB"/>
        </w:rPr>
        <w:t>’,</w:t>
      </w:r>
      <w:proofErr w:type="gramEnd"/>
      <w:r w:rsidRPr="00C74B05">
        <w:rPr>
          <w:rFonts w:cstheme="minorHAnsi"/>
          <w:lang w:eastAsia="en-GB"/>
        </w:rPr>
        <w:t xml:space="preserve"> Survey Practice 2012: Issue 5, Volume 3, pages 1-5.</w:t>
      </w:r>
    </w:p>
    <w:p w14:paraId="4D72E567" w14:textId="2C74AD83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URL: </w:t>
      </w:r>
      <w:hyperlink r:id="rId8" w:history="1">
        <w:r w:rsidRPr="00C74B05">
          <w:rPr>
            <w:rStyle w:val="Hyperlink"/>
            <w:rFonts w:cstheme="minorHAnsi"/>
            <w:bCs/>
          </w:rPr>
          <w:t>https://www.surveypractice.org/article/3096-the-mode-of-invitation-for-web-surveys</w:t>
        </w:r>
      </w:hyperlink>
    </w:p>
    <w:p w14:paraId="0A14BD90" w14:textId="77777777" w:rsidR="00671D8D" w:rsidRDefault="00671D8D" w:rsidP="00671D8D">
      <w:pPr>
        <w:rPr>
          <w:rFonts w:cstheme="minorHAnsi"/>
          <w:b/>
        </w:rPr>
      </w:pPr>
    </w:p>
    <w:p w14:paraId="4BD78B1E" w14:textId="34465AC3" w:rsidR="00CE0F8D" w:rsidRDefault="00EB7929" w:rsidP="00671D8D">
      <w:pPr>
        <w:rPr>
          <w:rFonts w:cstheme="minorHAnsi"/>
          <w:b/>
          <w:bCs/>
        </w:rPr>
      </w:pPr>
      <w:r>
        <w:rPr>
          <w:rFonts w:cstheme="minorHAnsi"/>
          <w:b/>
        </w:rPr>
        <w:t xml:space="preserve">Title: </w:t>
      </w:r>
      <w:r w:rsidRPr="00C74B05">
        <w:rPr>
          <w:rFonts w:cstheme="minorHAnsi"/>
        </w:rPr>
        <w:t>The Impact of Between-Wave Engagement Strategies on Response to a Longitudinal Survey</w:t>
      </w:r>
    </w:p>
    <w:p w14:paraId="2700CA8D" w14:textId="77777777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>This paper presents new research measuring the impact of the design of between-wave keeping-in-touch mailings on response to the mailing and subsequent wave of a longitudinal survey.</w:t>
      </w:r>
    </w:p>
    <w:p w14:paraId="64675617" w14:textId="77777777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Citation: </w:t>
      </w:r>
      <w:r w:rsidRPr="00C74B05">
        <w:rPr>
          <w:rFonts w:cstheme="minorHAnsi"/>
          <w:lang w:eastAsia="en-GB"/>
        </w:rPr>
        <w:t>Cleary A, Balmer N. ‘The Impact of Between-Wave Engagement Strategies on Response to a Longitudinal Survey</w:t>
      </w:r>
      <w:proofErr w:type="gramStart"/>
      <w:r w:rsidRPr="00C74B05">
        <w:rPr>
          <w:rFonts w:cstheme="minorHAnsi"/>
          <w:lang w:eastAsia="en-GB"/>
        </w:rPr>
        <w:t>’,</w:t>
      </w:r>
      <w:proofErr w:type="gramEnd"/>
      <w:r w:rsidRPr="00C74B05">
        <w:rPr>
          <w:rFonts w:cstheme="minorHAnsi"/>
          <w:lang w:eastAsia="en-GB"/>
        </w:rPr>
        <w:t xml:space="preserve"> International Journal of Market Research 2015: Issue 57, Volume 4, pages 533-554.</w:t>
      </w:r>
    </w:p>
    <w:p w14:paraId="4E5D6A0E" w14:textId="662D7562" w:rsidR="00CE0F8D" w:rsidRDefault="00EB7929" w:rsidP="00671D8D">
      <w:r w:rsidRPr="00C74B05">
        <w:rPr>
          <w:rFonts w:cstheme="minorHAnsi"/>
          <w:b/>
        </w:rPr>
        <w:t xml:space="preserve">URL: </w:t>
      </w:r>
      <w:hyperlink r:id="rId9" w:history="1">
        <w:r w:rsidRPr="00A657CE">
          <w:rPr>
            <w:rStyle w:val="Hyperlink"/>
          </w:rPr>
          <w:t>https://journals.sagepub.com/stoken/rbtfl/3OXKX3U1BEU3WZM861L1C/pdf/10.2501/IJMR-2015-046</w:t>
        </w:r>
      </w:hyperlink>
    </w:p>
    <w:p w14:paraId="4D0823E1" w14:textId="77777777" w:rsidR="00671D8D" w:rsidRDefault="00671D8D" w:rsidP="00671D8D">
      <w:pPr>
        <w:rPr>
          <w:rFonts w:cstheme="minorHAnsi"/>
          <w:b/>
        </w:rPr>
      </w:pPr>
    </w:p>
    <w:p w14:paraId="70BA7B71" w14:textId="58B9052B" w:rsidR="00CE0F8D" w:rsidRDefault="00EB7929" w:rsidP="00671D8D">
      <w:pPr>
        <w:rPr>
          <w:rFonts w:cstheme="minorHAnsi"/>
        </w:rPr>
      </w:pPr>
      <w:r>
        <w:rPr>
          <w:rFonts w:cstheme="minorHAnsi"/>
          <w:b/>
        </w:rPr>
        <w:t xml:space="preserve">Title: </w:t>
      </w:r>
      <w:r w:rsidRPr="00C74B05">
        <w:rPr>
          <w:rFonts w:cstheme="minorHAnsi"/>
        </w:rPr>
        <w:t>The promise and challenge of pushing respondents to the Web in mixed-mode surveys</w:t>
      </w:r>
    </w:p>
    <w:p w14:paraId="3D1E8E85" w14:textId="77777777" w:rsidR="00CE0F8D" w:rsidRDefault="00EB7929" w:rsidP="00671D8D">
      <w:pPr>
        <w:rPr>
          <w:rFonts w:cstheme="minorHAnsi"/>
          <w:bCs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 xml:space="preserve">This paper describes the reasons this innovative mixing of survey </w:t>
      </w:r>
      <w:proofErr w:type="gramStart"/>
      <w:r w:rsidRPr="00C74B05">
        <w:rPr>
          <w:rFonts w:cstheme="minorHAnsi"/>
          <w:bCs/>
        </w:rPr>
        <w:t>contact</w:t>
      </w:r>
      <w:proofErr w:type="gramEnd"/>
      <w:r w:rsidRPr="00C74B05">
        <w:rPr>
          <w:rFonts w:cstheme="minorHAnsi"/>
          <w:bCs/>
        </w:rPr>
        <w:t xml:space="preserve"> and response modes was needed alongside historical and institutional barriers to mixing survey modes.</w:t>
      </w:r>
      <w:r w:rsidRPr="00C74B05">
        <w:rPr>
          <w:rFonts w:cstheme="minorHAnsi"/>
        </w:rPr>
        <w:t xml:space="preserve"> </w:t>
      </w:r>
      <w:r w:rsidRPr="00C74B05">
        <w:rPr>
          <w:rFonts w:cstheme="minorHAnsi"/>
          <w:bCs/>
        </w:rPr>
        <w:t>This paper ends with a discussion of both the great promise and significant challenge presented by greater reliance on web-push survey methods.</w:t>
      </w:r>
    </w:p>
    <w:p w14:paraId="584E5084" w14:textId="77777777" w:rsidR="00CE0F8D" w:rsidRDefault="00EB7929" w:rsidP="00671D8D">
      <w:pPr>
        <w:rPr>
          <w:rFonts w:cstheme="minorHAnsi"/>
          <w:lang w:eastAsia="en-GB"/>
        </w:rPr>
      </w:pPr>
      <w:r w:rsidRPr="00C74B05">
        <w:rPr>
          <w:rFonts w:cstheme="minorHAnsi"/>
          <w:b/>
        </w:rPr>
        <w:lastRenderedPageBreak/>
        <w:t xml:space="preserve">Citation: </w:t>
      </w:r>
      <w:proofErr w:type="spellStart"/>
      <w:r w:rsidRPr="00C74B05">
        <w:rPr>
          <w:rFonts w:cstheme="minorHAnsi"/>
          <w:lang w:eastAsia="en-GB"/>
        </w:rPr>
        <w:t>Dillman</w:t>
      </w:r>
      <w:proofErr w:type="spellEnd"/>
      <w:r w:rsidRPr="00C74B05">
        <w:rPr>
          <w:rFonts w:cstheme="minorHAnsi"/>
          <w:lang w:eastAsia="en-GB"/>
        </w:rPr>
        <w:t xml:space="preserve"> DA. </w:t>
      </w:r>
      <w:r w:rsidRPr="00C74B05">
        <w:rPr>
          <w:rFonts w:cstheme="minorHAnsi"/>
        </w:rPr>
        <w:t xml:space="preserve">The promise and challenge of pushing respondents to the Web in mixed-mode surveys. </w:t>
      </w:r>
      <w:r w:rsidRPr="00C74B05">
        <w:rPr>
          <w:rFonts w:cstheme="minorHAnsi"/>
          <w:i/>
          <w:iCs/>
        </w:rPr>
        <w:t>Survey Methodology</w:t>
      </w:r>
      <w:r w:rsidRPr="00C74B05">
        <w:rPr>
          <w:rFonts w:cstheme="minorHAnsi"/>
        </w:rPr>
        <w:t>. Vol. 43(1), pp 3-30</w:t>
      </w:r>
      <w:r w:rsidRPr="00C74B05">
        <w:rPr>
          <w:rFonts w:cstheme="minorHAnsi"/>
          <w:lang w:eastAsia="en-GB"/>
        </w:rPr>
        <w:t xml:space="preserve"> </w:t>
      </w:r>
    </w:p>
    <w:p w14:paraId="6BFB4D7A" w14:textId="791A18E0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URL: </w:t>
      </w:r>
      <w:hyperlink r:id="rId10" w:history="1">
        <w:r w:rsidRPr="00C74B05">
          <w:rPr>
            <w:rStyle w:val="Hyperlink"/>
            <w:rFonts w:cstheme="minorHAnsi"/>
            <w:bCs/>
          </w:rPr>
          <w:t>https://www150.statcan.gc.ca/n1/pub/12-001-x/2017001/article/14836-eng.htm</w:t>
        </w:r>
      </w:hyperlink>
    </w:p>
    <w:p w14:paraId="7D7AF6B2" w14:textId="77777777" w:rsidR="00671D8D" w:rsidRDefault="00671D8D" w:rsidP="00671D8D">
      <w:pPr>
        <w:rPr>
          <w:rFonts w:cstheme="minorHAnsi"/>
          <w:b/>
        </w:rPr>
      </w:pPr>
    </w:p>
    <w:p w14:paraId="22D82833" w14:textId="4C553FBC" w:rsidR="00CE0F8D" w:rsidRDefault="00EB7929" w:rsidP="00671D8D">
      <w:pPr>
        <w:rPr>
          <w:rFonts w:cstheme="minorHAnsi"/>
          <w:b/>
        </w:rPr>
      </w:pPr>
      <w:r>
        <w:rPr>
          <w:rFonts w:cstheme="minorHAnsi"/>
          <w:b/>
        </w:rPr>
        <w:t>Title</w:t>
      </w:r>
      <w:r w:rsidRPr="00C74B05">
        <w:rPr>
          <w:rFonts w:cstheme="minorHAnsi"/>
          <w:b/>
        </w:rPr>
        <w:t xml:space="preserve">: </w:t>
      </w:r>
      <w:r>
        <w:rPr>
          <w:rFonts w:cstheme="minorHAnsi"/>
          <w:bCs/>
        </w:rPr>
        <w:t>The SAGE Qualitative Research Kit</w:t>
      </w:r>
    </w:p>
    <w:p w14:paraId="598AEF23" w14:textId="77777777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 xml:space="preserve">These books contain the essential, state-of-the-art tools for those engaging in qualitative research. Bringing together concise, practical texts by leading academics in the field, the Kit guides students and researchers through designing and </w:t>
      </w:r>
      <w:proofErr w:type="gramStart"/>
      <w:r w:rsidRPr="00C74B05">
        <w:rPr>
          <w:rFonts w:cstheme="minorHAnsi"/>
          <w:bCs/>
        </w:rPr>
        <w:t>carrying out</w:t>
      </w:r>
      <w:proofErr w:type="gramEnd"/>
      <w:r w:rsidRPr="00C74B05">
        <w:rPr>
          <w:rFonts w:cstheme="minorHAnsi"/>
          <w:bCs/>
        </w:rPr>
        <w:t xml:space="preserve"> research using the full range of qualitative methods, from focus groups and interviews to ethnography and discourse analysis. </w:t>
      </w:r>
    </w:p>
    <w:p w14:paraId="4204FDE9" w14:textId="77777777" w:rsidR="00CE0F8D" w:rsidRDefault="00EB7929" w:rsidP="00671D8D">
      <w:pPr>
        <w:rPr>
          <w:rFonts w:cstheme="minorHAnsi"/>
          <w:bCs/>
        </w:rPr>
      </w:pPr>
      <w:r w:rsidRPr="00C74B05">
        <w:rPr>
          <w:rFonts w:cstheme="minorHAnsi"/>
          <w:b/>
        </w:rPr>
        <w:t xml:space="preserve">Citation: </w:t>
      </w:r>
      <w:r w:rsidRPr="00C74B05">
        <w:rPr>
          <w:rFonts w:cstheme="minorHAnsi"/>
          <w:bCs/>
        </w:rPr>
        <w:t>Flick, U. (2017). The SAGE Qualitative Research Kit. SAGE Publications Ltd</w:t>
      </w:r>
    </w:p>
    <w:p w14:paraId="6E5F870D" w14:textId="22504C8D" w:rsidR="00EB7929" w:rsidRDefault="00EB7929">
      <w:pPr>
        <w:rPr>
          <w:rFonts w:cstheme="minorHAnsi"/>
        </w:rPr>
      </w:pPr>
      <w:r w:rsidRPr="00C74B05">
        <w:rPr>
          <w:rFonts w:cstheme="minorHAnsi"/>
          <w:b/>
        </w:rPr>
        <w:t xml:space="preserve">URL: </w:t>
      </w:r>
      <w:hyperlink r:id="rId11" w:history="1">
        <w:r w:rsidRPr="00C74B05">
          <w:rPr>
            <w:rStyle w:val="Hyperlink"/>
            <w:rFonts w:cstheme="minorHAnsi"/>
          </w:rPr>
          <w:t>https://us.sagepub.com/en-us/nam/the-sage-qualitative-research-kit/book243410</w:t>
        </w:r>
      </w:hyperlink>
    </w:p>
    <w:p w14:paraId="315A4EA4" w14:textId="77777777" w:rsidR="00671D8D" w:rsidRDefault="00671D8D" w:rsidP="00671D8D">
      <w:pPr>
        <w:shd w:val="clear" w:color="auto" w:fill="FFFFFF" w:themeFill="background1"/>
        <w:rPr>
          <w:rFonts w:cstheme="minorHAnsi"/>
          <w:b/>
        </w:rPr>
      </w:pPr>
    </w:p>
    <w:p w14:paraId="61CCDD08" w14:textId="7156FDFA" w:rsidR="00CE0F8D" w:rsidRDefault="00EB7929" w:rsidP="00671D8D">
      <w:pPr>
        <w:shd w:val="clear" w:color="auto" w:fill="FFFFFF" w:themeFill="background1"/>
        <w:rPr>
          <w:rFonts w:cstheme="minorHAnsi"/>
          <w:b/>
        </w:rPr>
      </w:pPr>
      <w:r w:rsidRPr="00C74B05">
        <w:rPr>
          <w:rFonts w:cstheme="minorHAnsi"/>
          <w:b/>
        </w:rPr>
        <w:t>T</w:t>
      </w:r>
      <w:r>
        <w:rPr>
          <w:rFonts w:cstheme="minorHAnsi"/>
          <w:b/>
        </w:rPr>
        <w:t>itl</w:t>
      </w:r>
      <w:r w:rsidRPr="00C74B05">
        <w:rPr>
          <w:rFonts w:cstheme="minorHAnsi"/>
          <w:b/>
        </w:rPr>
        <w:t xml:space="preserve">e: </w:t>
      </w:r>
      <w:r w:rsidRPr="00C74B05">
        <w:rPr>
          <w:rFonts w:cstheme="minorHAnsi"/>
          <w:bCs/>
        </w:rPr>
        <w:t>Usability Testing for Survey Research</w:t>
      </w:r>
    </w:p>
    <w:p w14:paraId="0B48578C" w14:textId="77777777" w:rsidR="00CE0F8D" w:rsidRDefault="00EB7929" w:rsidP="00671D8D">
      <w:pPr>
        <w:shd w:val="clear" w:color="auto" w:fill="FFFFFF" w:themeFill="background1"/>
        <w:rPr>
          <w:rFonts w:cstheme="minorHAnsi"/>
          <w:bCs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 xml:space="preserve">Usability Testing for Survey Research provides researchers with a guide to the tools necessary to evaluate, </w:t>
      </w:r>
      <w:proofErr w:type="gramStart"/>
      <w:r w:rsidRPr="00C74B05">
        <w:rPr>
          <w:rFonts w:cstheme="minorHAnsi"/>
          <w:bCs/>
        </w:rPr>
        <w:t>test</w:t>
      </w:r>
      <w:proofErr w:type="gramEnd"/>
      <w:r w:rsidRPr="00C74B05">
        <w:rPr>
          <w:rFonts w:cstheme="minorHAnsi"/>
          <w:bCs/>
        </w:rPr>
        <w:t>, and modify surveys in an iterative method during the survey pretesting process.</w:t>
      </w:r>
    </w:p>
    <w:p w14:paraId="71534EF4" w14:textId="77777777" w:rsidR="00CE0F8D" w:rsidRDefault="00EB7929" w:rsidP="00671D8D">
      <w:pPr>
        <w:shd w:val="clear" w:color="auto" w:fill="FFFFFF" w:themeFill="background1"/>
        <w:rPr>
          <w:rFonts w:cstheme="minorHAnsi"/>
          <w:bCs/>
        </w:rPr>
      </w:pPr>
      <w:r w:rsidRPr="00C74B05">
        <w:rPr>
          <w:rFonts w:cstheme="minorHAnsi"/>
          <w:b/>
        </w:rPr>
        <w:t>Citation:</w:t>
      </w:r>
      <w:r w:rsidRPr="00C74B05">
        <w:rPr>
          <w:rFonts w:cstheme="minorHAnsi"/>
          <w:bCs/>
        </w:rPr>
        <w:t xml:space="preserve"> </w:t>
      </w:r>
      <w:proofErr w:type="spellStart"/>
      <w:r w:rsidRPr="00C74B05">
        <w:rPr>
          <w:rFonts w:cstheme="minorHAnsi"/>
          <w:bCs/>
        </w:rPr>
        <w:t>Geisen</w:t>
      </w:r>
      <w:proofErr w:type="spellEnd"/>
      <w:r w:rsidRPr="00C74B05">
        <w:rPr>
          <w:rFonts w:cstheme="minorHAnsi"/>
          <w:bCs/>
        </w:rPr>
        <w:t>, E. and Romano Bergstrom, J. (2017). Usability Testing for Survey Research. Morgan Kaufmann Publishers: Cambridge</w:t>
      </w:r>
    </w:p>
    <w:p w14:paraId="0F59395C" w14:textId="6C36307C" w:rsidR="00CE0F8D" w:rsidRDefault="00EB7929" w:rsidP="00671D8D">
      <w:pPr>
        <w:shd w:val="clear" w:color="auto" w:fill="FFFFFF" w:themeFill="background1"/>
        <w:rPr>
          <w:rFonts w:cstheme="minorHAnsi"/>
          <w:b/>
        </w:rPr>
      </w:pPr>
      <w:r w:rsidRPr="00C74B05">
        <w:rPr>
          <w:rFonts w:cstheme="minorHAnsi"/>
          <w:b/>
        </w:rPr>
        <w:t xml:space="preserve">URL: </w:t>
      </w:r>
      <w:hyperlink r:id="rId12" w:anchor="v=onepage&amp;q&amp;f=false" w:history="1">
        <w:r w:rsidRPr="00C74B05">
          <w:rPr>
            <w:rStyle w:val="Hyperlink"/>
            <w:rFonts w:cstheme="minorHAnsi"/>
          </w:rPr>
          <w:t>https://books.google.co.uk/books/about/Usability_Testing_for_Survey_Research.html?id=hSqlCgAAQBAJ&amp;printsec=frontcover&amp;source=kp_read_button&amp;redir_esc=y#v=onepage&amp;q&amp;f=false</w:t>
        </w:r>
      </w:hyperlink>
    </w:p>
    <w:p w14:paraId="215B48D3" w14:textId="77777777" w:rsidR="00671D8D" w:rsidRDefault="00671D8D" w:rsidP="00671D8D">
      <w:pPr>
        <w:rPr>
          <w:rFonts w:cstheme="minorHAnsi"/>
          <w:b/>
        </w:rPr>
      </w:pPr>
    </w:p>
    <w:p w14:paraId="6CFA4A79" w14:textId="7087B5ED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>T</w:t>
      </w:r>
      <w:r>
        <w:rPr>
          <w:rFonts w:cstheme="minorHAnsi"/>
          <w:b/>
        </w:rPr>
        <w:t>itl</w:t>
      </w:r>
      <w:r w:rsidRPr="00C74B05">
        <w:rPr>
          <w:rFonts w:cstheme="minorHAnsi"/>
          <w:b/>
        </w:rPr>
        <w:t xml:space="preserve">e: </w:t>
      </w:r>
      <w:r w:rsidRPr="00C74B05">
        <w:rPr>
          <w:rFonts w:cstheme="minorHAnsi"/>
          <w:lang w:eastAsia="en-GB"/>
        </w:rPr>
        <w:t>The effect of invitation design on web survey response rates</w:t>
      </w:r>
    </w:p>
    <w:p w14:paraId="5907F74F" w14:textId="75EF01F3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 xml:space="preserve">This research reports results of an experiment of five design elements of web survey invitations </w:t>
      </w:r>
      <w:r w:rsidR="009D0947">
        <w:rPr>
          <w:rFonts w:cstheme="minorHAnsi"/>
          <w:bCs/>
        </w:rPr>
        <w:t>–</w:t>
      </w:r>
      <w:r w:rsidR="009D0947" w:rsidRPr="00C74B05">
        <w:rPr>
          <w:rFonts w:cstheme="minorHAnsi"/>
          <w:bCs/>
        </w:rPr>
        <w:t xml:space="preserve"> </w:t>
      </w:r>
      <w:r w:rsidRPr="00C74B05">
        <w:rPr>
          <w:rFonts w:cstheme="minorHAnsi"/>
          <w:bCs/>
        </w:rPr>
        <w:t xml:space="preserve">invitation mode, subject line, location of URL link, length of the invitation text, and survey time/effort estimate. There were significant effects of </w:t>
      </w:r>
      <w:proofErr w:type="gramStart"/>
      <w:r w:rsidRPr="00C74B05">
        <w:rPr>
          <w:rFonts w:cstheme="minorHAnsi"/>
          <w:bCs/>
        </w:rPr>
        <w:t>different design</w:t>
      </w:r>
      <w:proofErr w:type="gramEnd"/>
      <w:r w:rsidRPr="00C74B05">
        <w:rPr>
          <w:rFonts w:cstheme="minorHAnsi"/>
          <w:bCs/>
        </w:rPr>
        <w:t xml:space="preserve"> elements on response rates. The results suggest that </w:t>
      </w:r>
      <w:proofErr w:type="gramStart"/>
      <w:r w:rsidRPr="00C74B05">
        <w:rPr>
          <w:rFonts w:cstheme="minorHAnsi"/>
          <w:bCs/>
        </w:rPr>
        <w:t>some</w:t>
      </w:r>
      <w:proofErr w:type="gramEnd"/>
      <w:r w:rsidRPr="00C74B05">
        <w:rPr>
          <w:rFonts w:cstheme="minorHAnsi"/>
          <w:bCs/>
        </w:rPr>
        <w:t xml:space="preserve"> design elements of </w:t>
      </w:r>
      <w:r w:rsidRPr="00C74B05">
        <w:rPr>
          <w:rFonts w:cstheme="minorHAnsi"/>
          <w:bCs/>
        </w:rPr>
        <w:lastRenderedPageBreak/>
        <w:t>invitations may have similar effects across subsets of populations, while others may have different effects on different subsets of potential respondents.</w:t>
      </w:r>
    </w:p>
    <w:p w14:paraId="21A770C9" w14:textId="77777777" w:rsidR="00CE0F8D" w:rsidRDefault="00EB7929" w:rsidP="00671D8D">
      <w:pPr>
        <w:rPr>
          <w:rFonts w:cstheme="minorHAnsi"/>
          <w:lang w:eastAsia="en-GB"/>
        </w:rPr>
      </w:pPr>
      <w:r w:rsidRPr="00C74B05">
        <w:rPr>
          <w:rFonts w:cstheme="minorHAnsi"/>
          <w:b/>
        </w:rPr>
        <w:t xml:space="preserve">Citation: </w:t>
      </w:r>
      <w:r w:rsidRPr="00C74B05">
        <w:rPr>
          <w:rFonts w:cstheme="minorHAnsi"/>
          <w:lang w:eastAsia="en-GB"/>
        </w:rPr>
        <w:t xml:space="preserve">Kaplowitz MD, </w:t>
      </w:r>
      <w:proofErr w:type="spellStart"/>
      <w:r w:rsidRPr="00C74B05">
        <w:rPr>
          <w:rFonts w:cstheme="minorHAnsi"/>
          <w:lang w:eastAsia="en-GB"/>
        </w:rPr>
        <w:t>Lupi</w:t>
      </w:r>
      <w:proofErr w:type="spellEnd"/>
      <w:r w:rsidRPr="00C74B05">
        <w:rPr>
          <w:rFonts w:cstheme="minorHAnsi"/>
          <w:lang w:eastAsia="en-GB"/>
        </w:rPr>
        <w:t xml:space="preserve"> F, Couper MP, Thorp L ‘The effect of invitation design on web survey response rates</w:t>
      </w:r>
      <w:proofErr w:type="gramStart"/>
      <w:r w:rsidRPr="00C74B05">
        <w:rPr>
          <w:rFonts w:cstheme="minorHAnsi"/>
          <w:lang w:eastAsia="en-GB"/>
        </w:rPr>
        <w:t>’,</w:t>
      </w:r>
      <w:proofErr w:type="gramEnd"/>
      <w:r w:rsidRPr="00C74B05">
        <w:rPr>
          <w:rFonts w:cstheme="minorHAnsi"/>
          <w:lang w:eastAsia="en-GB"/>
        </w:rPr>
        <w:t xml:space="preserve"> Social Science Computer Review 2012: Issue 30, Volume 3 pages 339-349.</w:t>
      </w:r>
    </w:p>
    <w:p w14:paraId="6C828457" w14:textId="10DDD6C5" w:rsidR="00CE0F8D" w:rsidRDefault="00EB7929" w:rsidP="00671D8D">
      <w:r w:rsidRPr="00C74B05">
        <w:rPr>
          <w:rFonts w:cstheme="minorHAnsi"/>
          <w:b/>
        </w:rPr>
        <w:t xml:space="preserve">URL: </w:t>
      </w:r>
      <w:hyperlink r:id="rId13" w:history="1">
        <w:r w:rsidRPr="00A657CE">
          <w:rPr>
            <w:rStyle w:val="Hyperlink"/>
          </w:rPr>
          <w:t>https://journals.sagepub.com/stoken/rbtfl/N0X1C8L52RO84LCY9DJSAV/pdf/10.1177/0894439311419084</w:t>
        </w:r>
      </w:hyperlink>
    </w:p>
    <w:p w14:paraId="5D0DFFEF" w14:textId="77777777" w:rsidR="00671D8D" w:rsidRDefault="00671D8D" w:rsidP="00671D8D">
      <w:pPr>
        <w:shd w:val="clear" w:color="auto" w:fill="FFFFFF" w:themeFill="background1"/>
        <w:rPr>
          <w:rFonts w:cstheme="minorHAnsi"/>
          <w:b/>
        </w:rPr>
      </w:pPr>
    </w:p>
    <w:p w14:paraId="661BE6F4" w14:textId="460586B7" w:rsidR="00CE0F8D" w:rsidRDefault="00EB7929" w:rsidP="00671D8D">
      <w:pPr>
        <w:shd w:val="clear" w:color="auto" w:fill="FFFFFF" w:themeFill="background1"/>
        <w:rPr>
          <w:rFonts w:cstheme="minorHAnsi"/>
          <w:b/>
        </w:rPr>
      </w:pPr>
      <w:r w:rsidRPr="00C74B05">
        <w:rPr>
          <w:rFonts w:cstheme="minorHAnsi"/>
          <w:b/>
        </w:rPr>
        <w:t>T</w:t>
      </w:r>
      <w:r>
        <w:rPr>
          <w:rFonts w:cstheme="minorHAnsi"/>
          <w:b/>
        </w:rPr>
        <w:t>itl</w:t>
      </w:r>
      <w:r w:rsidRPr="00C74B05">
        <w:rPr>
          <w:rFonts w:cstheme="minorHAnsi"/>
          <w:b/>
        </w:rPr>
        <w:t xml:space="preserve">e: </w:t>
      </w:r>
      <w:r w:rsidRPr="00C74B05">
        <w:rPr>
          <w:rFonts w:cstheme="minorHAnsi"/>
          <w:bCs/>
        </w:rPr>
        <w:t xml:space="preserve">Research </w:t>
      </w:r>
      <w:r>
        <w:rPr>
          <w:rFonts w:cstheme="minorHAnsi"/>
          <w:bCs/>
        </w:rPr>
        <w:t>E</w:t>
      </w:r>
      <w:r w:rsidRPr="00C74B05">
        <w:rPr>
          <w:rFonts w:cstheme="minorHAnsi"/>
          <w:bCs/>
        </w:rPr>
        <w:t xml:space="preserve">thics in the </w:t>
      </w:r>
      <w:r>
        <w:rPr>
          <w:rFonts w:cstheme="minorHAnsi"/>
          <w:bCs/>
        </w:rPr>
        <w:t>R</w:t>
      </w:r>
      <w:r w:rsidRPr="00C74B05">
        <w:rPr>
          <w:rFonts w:cstheme="minorHAnsi"/>
          <w:bCs/>
        </w:rPr>
        <w:t xml:space="preserve">eal </w:t>
      </w:r>
      <w:r>
        <w:rPr>
          <w:rFonts w:cstheme="minorHAnsi"/>
          <w:bCs/>
        </w:rPr>
        <w:t>W</w:t>
      </w:r>
      <w:r w:rsidRPr="00C74B05">
        <w:rPr>
          <w:rFonts w:cstheme="minorHAnsi"/>
          <w:bCs/>
        </w:rPr>
        <w:t>orld</w:t>
      </w:r>
    </w:p>
    <w:p w14:paraId="57780777" w14:textId="77777777" w:rsidR="00CE0F8D" w:rsidRDefault="00EB7929" w:rsidP="00671D8D">
      <w:pPr>
        <w:shd w:val="clear" w:color="auto" w:fill="FFFFFF" w:themeFill="background1"/>
        <w:rPr>
          <w:rFonts w:cstheme="minorHAnsi"/>
          <w:b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 xml:space="preserve">This book highlights the links between research ethics and individual, social, professional, institutional, and political ethics. It provides guidance for quantitative, qualitative, and mixed-methods researchers from all disciplines about how to act ethically throughout your research work. </w:t>
      </w:r>
    </w:p>
    <w:p w14:paraId="32C33E7E" w14:textId="77777777" w:rsidR="00CE0F8D" w:rsidRDefault="00EB7929" w:rsidP="00671D8D">
      <w:pPr>
        <w:shd w:val="clear" w:color="auto" w:fill="FFFFFF" w:themeFill="background1"/>
        <w:rPr>
          <w:rFonts w:cstheme="minorHAnsi"/>
          <w:b/>
        </w:rPr>
      </w:pPr>
      <w:r w:rsidRPr="00C74B05">
        <w:rPr>
          <w:rFonts w:cstheme="minorHAnsi"/>
          <w:b/>
        </w:rPr>
        <w:t xml:space="preserve">Citation: </w:t>
      </w:r>
      <w:r w:rsidRPr="00C74B05">
        <w:rPr>
          <w:rFonts w:cstheme="minorHAnsi"/>
          <w:bCs/>
        </w:rPr>
        <w:t>Kara, H. (2018). Research ethics in the real world: Euro-Western and Indigenous Perspectives. Policy Press</w:t>
      </w:r>
      <w:r w:rsidRPr="00C74B05">
        <w:rPr>
          <w:rFonts w:cstheme="minorHAnsi"/>
          <w:b/>
        </w:rPr>
        <w:t xml:space="preserve"> </w:t>
      </w:r>
    </w:p>
    <w:p w14:paraId="50C7E9EA" w14:textId="4970EF2D" w:rsidR="00EB7929" w:rsidRDefault="00EB7929">
      <w:pPr>
        <w:shd w:val="clear" w:color="auto" w:fill="FFFFFF" w:themeFill="background1"/>
        <w:rPr>
          <w:rFonts w:cstheme="minorHAnsi"/>
          <w:lang w:eastAsia="en-GB"/>
        </w:rPr>
      </w:pPr>
      <w:r w:rsidRPr="00C74B05">
        <w:rPr>
          <w:rFonts w:cstheme="minorHAnsi"/>
          <w:b/>
        </w:rPr>
        <w:t xml:space="preserve">URL: </w:t>
      </w:r>
      <w:hyperlink r:id="rId14" w:history="1">
        <w:r w:rsidRPr="003974C5">
          <w:rPr>
            <w:rStyle w:val="Hyperlink"/>
            <w:rFonts w:cstheme="minorHAnsi"/>
          </w:rPr>
          <w:t>https://policy.bristoluniversitypress.co.uk/research-ethics-in-the-real-world</w:t>
        </w:r>
      </w:hyperlink>
    </w:p>
    <w:p w14:paraId="5AFA084F" w14:textId="77777777" w:rsidR="00671D8D" w:rsidRDefault="00671D8D" w:rsidP="00671D8D">
      <w:pPr>
        <w:rPr>
          <w:rFonts w:cstheme="minorHAnsi"/>
          <w:b/>
        </w:rPr>
      </w:pPr>
    </w:p>
    <w:p w14:paraId="2065982B" w14:textId="7D204B69" w:rsidR="00CE0F8D" w:rsidRDefault="00EB7929" w:rsidP="00671D8D">
      <w:pPr>
        <w:rPr>
          <w:rFonts w:cstheme="minorHAnsi"/>
          <w:bCs/>
        </w:rPr>
      </w:pPr>
      <w:r w:rsidRPr="00C74B05">
        <w:rPr>
          <w:rFonts w:cstheme="minorHAnsi"/>
          <w:b/>
        </w:rPr>
        <w:t>T</w:t>
      </w:r>
      <w:r>
        <w:rPr>
          <w:rFonts w:cstheme="minorHAnsi"/>
          <w:b/>
        </w:rPr>
        <w:t>itl</w:t>
      </w:r>
      <w:r w:rsidRPr="00C74B05">
        <w:rPr>
          <w:rFonts w:cstheme="minorHAnsi"/>
          <w:b/>
        </w:rPr>
        <w:t xml:space="preserve">e: </w:t>
      </w:r>
      <w:r w:rsidRPr="00C74B05">
        <w:rPr>
          <w:rFonts w:cstheme="minorHAnsi"/>
          <w:bCs/>
        </w:rPr>
        <w:t>Where Have the Respondents Gone? Perhaps We Ate Them All</w:t>
      </w:r>
    </w:p>
    <w:p w14:paraId="748B5B25" w14:textId="77777777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 xml:space="preserve">This article talks about the challenges of non-response to surveys and aims to stimulate debate by suggesting that </w:t>
      </w:r>
      <w:proofErr w:type="gramStart"/>
      <w:r w:rsidRPr="00C74B05">
        <w:rPr>
          <w:rFonts w:cstheme="minorHAnsi"/>
          <w:bCs/>
        </w:rPr>
        <w:t>a paradigm shift</w:t>
      </w:r>
      <w:proofErr w:type="gramEnd"/>
      <w:r w:rsidRPr="00C74B05">
        <w:rPr>
          <w:rFonts w:cstheme="minorHAnsi"/>
          <w:bCs/>
        </w:rPr>
        <w:t xml:space="preserve"> in theorizing nonresponse is needed. The author diagnoses the problem of non-response not only as an individual-level, survey-specific phenomenon</w:t>
      </w:r>
      <w:r w:rsidRPr="00C74B05">
        <w:rPr>
          <w:rFonts w:cstheme="minorHAnsi"/>
          <w:bCs/>
        </w:rPr>
        <w:t>,</w:t>
      </w:r>
      <w:r w:rsidRPr="00C74B05">
        <w:rPr>
          <w:rFonts w:cstheme="minorHAnsi"/>
          <w:bCs/>
        </w:rPr>
        <w:t xml:space="preserve"> but as something larger and more collective. </w:t>
      </w:r>
    </w:p>
    <w:p w14:paraId="21349D1E" w14:textId="77777777" w:rsidR="00CE0F8D" w:rsidRDefault="00EB7929" w:rsidP="00671D8D">
      <w:pPr>
        <w:rPr>
          <w:rFonts w:cstheme="minorHAnsi"/>
          <w:bCs/>
        </w:rPr>
      </w:pPr>
      <w:r w:rsidRPr="00C74B05">
        <w:rPr>
          <w:rFonts w:cstheme="minorHAnsi"/>
          <w:b/>
        </w:rPr>
        <w:t xml:space="preserve">Citation: </w:t>
      </w:r>
      <w:r w:rsidRPr="00C74B05">
        <w:rPr>
          <w:rFonts w:cstheme="minorHAnsi"/>
          <w:bCs/>
        </w:rPr>
        <w:t xml:space="preserve">Leeper, T. (2019). Where have all the respondents gone? </w:t>
      </w:r>
      <w:proofErr w:type="gramStart"/>
      <w:r w:rsidRPr="00C74B05">
        <w:rPr>
          <w:rFonts w:cstheme="minorHAnsi"/>
          <w:bCs/>
        </w:rPr>
        <w:t>Perhaps we</w:t>
      </w:r>
      <w:proofErr w:type="gramEnd"/>
      <w:r w:rsidRPr="00C74B05">
        <w:rPr>
          <w:rFonts w:cstheme="minorHAnsi"/>
          <w:bCs/>
        </w:rPr>
        <w:t xml:space="preserve"> ate them all. Public Opinion Quarterly, Volume 83, Issue S1, 2019, Pages 280–288</w:t>
      </w:r>
    </w:p>
    <w:p w14:paraId="33DA7FAA" w14:textId="02275953" w:rsidR="00CE0F8D" w:rsidRDefault="00EB7929" w:rsidP="00671D8D">
      <w:pPr>
        <w:rPr>
          <w:rFonts w:cstheme="minorHAnsi"/>
        </w:rPr>
      </w:pPr>
      <w:r w:rsidRPr="00C74B05">
        <w:rPr>
          <w:rFonts w:cstheme="minorHAnsi"/>
          <w:b/>
        </w:rPr>
        <w:t>URL:</w:t>
      </w:r>
      <w:r w:rsidRPr="00C74B05">
        <w:rPr>
          <w:rFonts w:cstheme="minorHAnsi"/>
        </w:rPr>
        <w:t xml:space="preserve"> </w:t>
      </w:r>
      <w:hyperlink r:id="rId15" w:history="1">
        <w:r w:rsidRPr="00C74B05">
          <w:rPr>
            <w:rStyle w:val="Hyperlink"/>
            <w:rFonts w:cstheme="minorHAnsi"/>
          </w:rPr>
          <w:t>https://academic.oup.com/poq/article/83/S1/280/5520778</w:t>
        </w:r>
      </w:hyperlink>
    </w:p>
    <w:p w14:paraId="60607552" w14:textId="77777777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>T</w:t>
      </w:r>
      <w:r>
        <w:rPr>
          <w:rFonts w:cstheme="minorHAnsi"/>
          <w:b/>
        </w:rPr>
        <w:t>itl</w:t>
      </w:r>
      <w:r w:rsidRPr="00C74B05">
        <w:rPr>
          <w:rFonts w:cstheme="minorHAnsi"/>
          <w:b/>
        </w:rPr>
        <w:t xml:space="preserve">e: </w:t>
      </w:r>
      <w:r w:rsidRPr="00C74B05">
        <w:rPr>
          <w:rFonts w:cstheme="minorHAnsi"/>
          <w:bCs/>
        </w:rPr>
        <w:t>From Standardised to Targeted Survey Procedures for Tackling Non-Response and Attrition</w:t>
      </w:r>
    </w:p>
    <w:p w14:paraId="6F81BF73" w14:textId="77777777" w:rsidR="00CE0F8D" w:rsidRDefault="00EB7929" w:rsidP="00671D8D">
      <w:pPr>
        <w:rPr>
          <w:rFonts w:cstheme="minorHAnsi"/>
          <w:bCs/>
        </w:rPr>
      </w:pPr>
      <w:r w:rsidRPr="00C74B05">
        <w:rPr>
          <w:rFonts w:cstheme="minorHAnsi"/>
          <w:b/>
        </w:rPr>
        <w:lastRenderedPageBreak/>
        <w:t xml:space="preserve">Explanation: </w:t>
      </w:r>
      <w:r w:rsidRPr="00C74B05">
        <w:rPr>
          <w:rFonts w:cstheme="minorHAnsi"/>
          <w:bCs/>
        </w:rPr>
        <w:t xml:space="preserve">Recent decades have seen a shift away from surveys in which all procedures are standardised towards a variety of approaches (tailored, responsive, adaptive) in which different sample members </w:t>
      </w:r>
      <w:proofErr w:type="gramStart"/>
      <w:r w:rsidRPr="00C74B05">
        <w:rPr>
          <w:rFonts w:cstheme="minorHAnsi"/>
          <w:bCs/>
        </w:rPr>
        <w:t>are treated</w:t>
      </w:r>
      <w:proofErr w:type="gramEnd"/>
      <w:r w:rsidRPr="00C74B05">
        <w:rPr>
          <w:rFonts w:cstheme="minorHAnsi"/>
          <w:bCs/>
        </w:rPr>
        <w:t xml:space="preserve"> differently. This article provides a framework for targeted designs, discusses their objectives, reviews their development, and outlines </w:t>
      </w:r>
      <w:proofErr w:type="gramStart"/>
      <w:r w:rsidRPr="00C74B05">
        <w:rPr>
          <w:rFonts w:cstheme="minorHAnsi"/>
          <w:bCs/>
        </w:rPr>
        <w:t>possible future</w:t>
      </w:r>
      <w:proofErr w:type="gramEnd"/>
      <w:r w:rsidRPr="00C74B05">
        <w:rPr>
          <w:rFonts w:cstheme="minorHAnsi"/>
          <w:bCs/>
        </w:rPr>
        <w:t xml:space="preserve"> developments.</w:t>
      </w:r>
    </w:p>
    <w:p w14:paraId="5F9A97DC" w14:textId="77777777" w:rsidR="00CE0F8D" w:rsidRDefault="00EB7929" w:rsidP="00671D8D">
      <w:pPr>
        <w:rPr>
          <w:rFonts w:cstheme="minorHAnsi"/>
          <w:lang w:eastAsia="en-GB"/>
        </w:rPr>
      </w:pPr>
      <w:r w:rsidRPr="00C74B05">
        <w:rPr>
          <w:rFonts w:cstheme="minorHAnsi"/>
          <w:b/>
        </w:rPr>
        <w:t xml:space="preserve">Citation: </w:t>
      </w:r>
      <w:r w:rsidRPr="00C74B05">
        <w:rPr>
          <w:rFonts w:cstheme="minorHAnsi"/>
          <w:lang w:eastAsia="en-GB"/>
        </w:rPr>
        <w:t>Lynn P. ‘From standardised to targeted survey procedures for tackling non-response and attrition.’ Survey Research Methods 2017: Volume 11, Number 1, pages 93-103.</w:t>
      </w:r>
    </w:p>
    <w:p w14:paraId="13F5AB3E" w14:textId="45F46CC3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URL: </w:t>
      </w:r>
      <w:hyperlink r:id="rId16" w:history="1">
        <w:r w:rsidRPr="00C74B05">
          <w:rPr>
            <w:rStyle w:val="Hyperlink"/>
            <w:rFonts w:cstheme="minorHAnsi"/>
            <w:bCs/>
          </w:rPr>
          <w:t>https://www.understandingsociety.ac.uk/sites/default/files/downloads/working-papers/2017-01.pdf</w:t>
        </w:r>
      </w:hyperlink>
    </w:p>
    <w:p w14:paraId="1CA829D7" w14:textId="77777777" w:rsidR="00671D8D" w:rsidRDefault="00671D8D" w:rsidP="00671D8D">
      <w:pPr>
        <w:rPr>
          <w:rFonts w:cstheme="minorHAnsi"/>
          <w:b/>
        </w:rPr>
      </w:pPr>
    </w:p>
    <w:p w14:paraId="52B72A8F" w14:textId="451DA0A1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>T</w:t>
      </w:r>
      <w:r>
        <w:rPr>
          <w:rFonts w:cstheme="minorHAnsi"/>
          <w:b/>
        </w:rPr>
        <w:t>itl</w:t>
      </w:r>
      <w:r w:rsidRPr="00C74B05">
        <w:rPr>
          <w:rFonts w:cstheme="minorHAnsi"/>
          <w:b/>
        </w:rPr>
        <w:t xml:space="preserve">e: </w:t>
      </w:r>
      <w:r w:rsidRPr="00C74B05">
        <w:rPr>
          <w:rFonts w:cstheme="minorHAnsi"/>
          <w:lang w:eastAsia="en-GB"/>
        </w:rPr>
        <w:t>Targeted appeals for participation in letters to panel survey members</w:t>
      </w:r>
    </w:p>
    <w:p w14:paraId="57E8A343" w14:textId="77777777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>This study seeks to establish whether it can be advantageous to target different versions of a letter to different sample subgroups</w:t>
      </w:r>
    </w:p>
    <w:p w14:paraId="12CC3016" w14:textId="77777777" w:rsidR="00CE0F8D" w:rsidRDefault="00EB7929" w:rsidP="00671D8D">
      <w:pPr>
        <w:shd w:val="clear" w:color="auto" w:fill="FFFFFF"/>
        <w:spacing w:before="100" w:beforeAutospacing="1"/>
        <w:rPr>
          <w:rFonts w:cstheme="minorHAnsi"/>
          <w:i/>
          <w:iCs/>
          <w:lang w:eastAsia="en-GB"/>
        </w:rPr>
      </w:pPr>
      <w:r w:rsidRPr="00C74B05">
        <w:rPr>
          <w:rFonts w:cstheme="minorHAnsi"/>
          <w:b/>
        </w:rPr>
        <w:t xml:space="preserve">Citation: </w:t>
      </w:r>
      <w:r w:rsidRPr="00C74B05">
        <w:rPr>
          <w:rFonts w:cstheme="minorHAnsi"/>
          <w:lang w:eastAsia="en-GB"/>
        </w:rPr>
        <w:t>Lynn, P ‘Targeted appeals for participation in letters to panel survey members</w:t>
      </w:r>
      <w:proofErr w:type="gramStart"/>
      <w:r w:rsidRPr="00C74B05">
        <w:rPr>
          <w:rFonts w:cstheme="minorHAnsi"/>
          <w:lang w:eastAsia="en-GB"/>
        </w:rPr>
        <w:t>’,</w:t>
      </w:r>
      <w:proofErr w:type="gramEnd"/>
      <w:r w:rsidRPr="00C74B05">
        <w:rPr>
          <w:rFonts w:cstheme="minorHAnsi"/>
          <w:lang w:eastAsia="en-GB"/>
        </w:rPr>
        <w:t xml:space="preserve"> Public Opinion Quarterly 2016: Issue 80, Volume 3, pages 771-782.</w:t>
      </w:r>
    </w:p>
    <w:p w14:paraId="507B1C12" w14:textId="242FE309" w:rsidR="00CE0F8D" w:rsidRDefault="00EB7929" w:rsidP="00671D8D">
      <w:pPr>
        <w:rPr>
          <w:rFonts w:cstheme="minorHAnsi"/>
          <w:b/>
        </w:rPr>
      </w:pPr>
      <w:r w:rsidRPr="00C74B05">
        <w:rPr>
          <w:rFonts w:cstheme="minorHAnsi"/>
          <w:b/>
        </w:rPr>
        <w:t xml:space="preserve">URL: </w:t>
      </w:r>
      <w:hyperlink r:id="rId17" w:history="1">
        <w:r w:rsidRPr="00C74B05">
          <w:rPr>
            <w:rStyle w:val="Hyperlink"/>
            <w:rFonts w:cstheme="minorHAnsi"/>
            <w:bCs/>
          </w:rPr>
          <w:t>https://core.ac.uk/download/pdf/74374411.pdf</w:t>
        </w:r>
      </w:hyperlink>
    </w:p>
    <w:p w14:paraId="64DCDC31" w14:textId="77777777" w:rsidR="00671D8D" w:rsidRDefault="00671D8D" w:rsidP="00671D8D">
      <w:pPr>
        <w:shd w:val="clear" w:color="auto" w:fill="FFFFFF" w:themeFill="background1"/>
        <w:rPr>
          <w:rFonts w:cstheme="minorHAnsi"/>
          <w:b/>
        </w:rPr>
      </w:pPr>
    </w:p>
    <w:p w14:paraId="1DF0B934" w14:textId="7A59DF6A" w:rsidR="00CE0F8D" w:rsidRDefault="00EB7929" w:rsidP="00671D8D">
      <w:pPr>
        <w:shd w:val="clear" w:color="auto" w:fill="FFFFFF" w:themeFill="background1"/>
        <w:rPr>
          <w:rFonts w:cstheme="minorHAnsi"/>
          <w:bCs/>
        </w:rPr>
      </w:pPr>
      <w:r w:rsidRPr="00C74B05">
        <w:rPr>
          <w:rFonts w:cstheme="minorHAnsi"/>
          <w:b/>
        </w:rPr>
        <w:t>T</w:t>
      </w:r>
      <w:r>
        <w:rPr>
          <w:rFonts w:cstheme="minorHAnsi"/>
          <w:b/>
        </w:rPr>
        <w:t>itl</w:t>
      </w:r>
      <w:r w:rsidRPr="00C74B05">
        <w:rPr>
          <w:rFonts w:cstheme="minorHAnsi"/>
          <w:b/>
        </w:rPr>
        <w:t xml:space="preserve">e: </w:t>
      </w:r>
      <w:r w:rsidRPr="00C74B05">
        <w:rPr>
          <w:rFonts w:cstheme="minorHAnsi"/>
          <w:lang w:eastAsia="en-GB"/>
        </w:rPr>
        <w:t xml:space="preserve">Surveying the </w:t>
      </w:r>
      <w:proofErr w:type="gramStart"/>
      <w:r w:rsidRPr="00C74B05">
        <w:rPr>
          <w:rFonts w:cstheme="minorHAnsi"/>
          <w:lang w:eastAsia="en-GB"/>
        </w:rPr>
        <w:t>general public</w:t>
      </w:r>
      <w:proofErr w:type="gramEnd"/>
      <w:r w:rsidRPr="00C74B05">
        <w:rPr>
          <w:rFonts w:cstheme="minorHAnsi"/>
          <w:lang w:eastAsia="en-GB"/>
        </w:rPr>
        <w:t xml:space="preserve"> over the internet using address-based sampling and mail contact procedures</w:t>
      </w:r>
    </w:p>
    <w:p w14:paraId="36FDD17D" w14:textId="77777777" w:rsidR="00CE0F8D" w:rsidRDefault="00EB7929" w:rsidP="00671D8D">
      <w:pPr>
        <w:shd w:val="clear" w:color="auto" w:fill="FFFFFF" w:themeFill="background1"/>
        <w:rPr>
          <w:rFonts w:cstheme="minorHAnsi"/>
          <w:b/>
        </w:rPr>
      </w:pPr>
      <w:r w:rsidRPr="00C74B05">
        <w:rPr>
          <w:rFonts w:cstheme="minorHAnsi"/>
          <w:b/>
        </w:rPr>
        <w:t xml:space="preserve">Explanation: </w:t>
      </w:r>
      <w:r w:rsidRPr="00C74B05">
        <w:rPr>
          <w:rFonts w:cstheme="minorHAnsi"/>
          <w:bCs/>
        </w:rPr>
        <w:t>This paper share</w:t>
      </w:r>
      <w:r w:rsidRPr="00C74B05">
        <w:rPr>
          <w:rFonts w:cstheme="minorHAnsi"/>
          <w:bCs/>
        </w:rPr>
        <w:t>s</w:t>
      </w:r>
      <w:r w:rsidRPr="00C74B05">
        <w:rPr>
          <w:rFonts w:cstheme="minorHAnsi"/>
          <w:bCs/>
        </w:rPr>
        <w:t xml:space="preserve"> results from two experiments in the United States designed to </w:t>
      </w:r>
      <w:proofErr w:type="gramStart"/>
      <w:r w:rsidRPr="00C74B05">
        <w:rPr>
          <w:rFonts w:cstheme="minorHAnsi"/>
          <w:bCs/>
        </w:rPr>
        <w:t>test</w:t>
      </w:r>
      <w:proofErr w:type="gramEnd"/>
      <w:r w:rsidRPr="00C74B05">
        <w:rPr>
          <w:rFonts w:cstheme="minorHAnsi"/>
          <w:bCs/>
        </w:rPr>
        <w:t xml:space="preserve"> potential methods for using postal mail to obtain survey responses over the Internet from address-based samples of general public households.</w:t>
      </w:r>
    </w:p>
    <w:p w14:paraId="425A7AD5" w14:textId="77777777" w:rsidR="00CE0F8D" w:rsidRDefault="00EB7929" w:rsidP="00671D8D">
      <w:pPr>
        <w:shd w:val="clear" w:color="auto" w:fill="FFFFFF" w:themeFill="background1"/>
        <w:spacing w:before="100" w:beforeAutospacing="1"/>
        <w:rPr>
          <w:rFonts w:cstheme="minorHAnsi"/>
          <w:i/>
          <w:iCs/>
          <w:lang w:eastAsia="en-GB"/>
        </w:rPr>
      </w:pPr>
      <w:r w:rsidRPr="00C74B05">
        <w:rPr>
          <w:rFonts w:cstheme="minorHAnsi"/>
          <w:b/>
        </w:rPr>
        <w:t xml:space="preserve">Citation: </w:t>
      </w:r>
      <w:bookmarkStart w:id="0" w:name="_Hlk62928735"/>
      <w:r w:rsidRPr="00C74B05">
        <w:rPr>
          <w:rFonts w:cstheme="minorHAnsi"/>
          <w:lang w:eastAsia="en-GB"/>
        </w:rPr>
        <w:t xml:space="preserve">Messer BL, </w:t>
      </w:r>
      <w:proofErr w:type="spellStart"/>
      <w:r w:rsidRPr="00C74B05">
        <w:rPr>
          <w:rFonts w:cstheme="minorHAnsi"/>
          <w:lang w:eastAsia="en-GB"/>
        </w:rPr>
        <w:t>Dillman</w:t>
      </w:r>
      <w:proofErr w:type="spellEnd"/>
      <w:r w:rsidRPr="00C74B05">
        <w:rPr>
          <w:rFonts w:cstheme="minorHAnsi"/>
          <w:lang w:eastAsia="en-GB"/>
        </w:rPr>
        <w:t xml:space="preserve"> DA. ‘Surveying the </w:t>
      </w:r>
      <w:proofErr w:type="gramStart"/>
      <w:r w:rsidRPr="00C74B05">
        <w:rPr>
          <w:rFonts w:cstheme="minorHAnsi"/>
          <w:lang w:eastAsia="en-GB"/>
        </w:rPr>
        <w:t>general public</w:t>
      </w:r>
      <w:proofErr w:type="gramEnd"/>
      <w:r w:rsidRPr="00C74B05">
        <w:rPr>
          <w:rFonts w:cstheme="minorHAnsi"/>
          <w:lang w:eastAsia="en-GB"/>
        </w:rPr>
        <w:t xml:space="preserve"> over the internet using address-based sampling and mail contact procedures’, Public Opinion Quarterly 2011: Volume 75, Issue 3, pages 429-457.</w:t>
      </w:r>
    </w:p>
    <w:bookmarkEnd w:id="0"/>
    <w:p w14:paraId="09931DF4" w14:textId="080B4AEF" w:rsidR="009C6C61" w:rsidRPr="00EB7929" w:rsidRDefault="00EB7929">
      <w:r w:rsidRPr="00C74B05">
        <w:rPr>
          <w:rFonts w:cstheme="minorHAnsi"/>
          <w:b/>
        </w:rPr>
        <w:t xml:space="preserve">URL: </w:t>
      </w:r>
      <w:hyperlink r:id="rId18" w:history="1">
        <w:r w:rsidRPr="00C74B05">
          <w:rPr>
            <w:rStyle w:val="Hyperlink"/>
            <w:rFonts w:cstheme="minorHAnsi"/>
            <w:bCs/>
          </w:rPr>
          <w:t>https://www.jstor.org/stable/41288396?seq=1</w:t>
        </w:r>
      </w:hyperlink>
    </w:p>
    <w:sectPr w:rsidR="009C6C61" w:rsidRPr="00EB7929" w:rsidSect="00D83A68">
      <w:headerReference w:type="default" r:id="rId19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BD46" w14:textId="77777777" w:rsidR="00506529" w:rsidRDefault="00506529">
      <w:r>
        <w:separator/>
      </w:r>
    </w:p>
  </w:endnote>
  <w:endnote w:type="continuationSeparator" w:id="0">
    <w:p w14:paraId="7C65DADB" w14:textId="77777777" w:rsidR="00506529" w:rsidRDefault="0050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C2C6" w14:textId="77777777" w:rsidR="00506529" w:rsidRDefault="00506529">
      <w:r>
        <w:separator/>
      </w:r>
    </w:p>
  </w:footnote>
  <w:footnote w:type="continuationSeparator" w:id="0">
    <w:p w14:paraId="0AC1AA85" w14:textId="77777777" w:rsidR="00506529" w:rsidRDefault="0050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3457" w14:textId="77777777" w:rsidR="009C6C61" w:rsidRDefault="009C6C61" w:rsidP="009C6C61">
    <w:pPr>
      <w:pStyle w:val="Header"/>
      <w:jc w:val="right"/>
      <w:rPr>
        <w:color w:val="221E1F"/>
      </w:rPr>
    </w:pPr>
    <w:r w:rsidRPr="009C6C61">
      <w:rPr>
        <w:color w:val="221E1F"/>
      </w:rPr>
      <w:t xml:space="preserve">Wilson &amp; Dickinson, </w:t>
    </w:r>
    <w:r w:rsidRPr="009C6C61">
      <w:rPr>
        <w:i/>
        <w:color w:val="221E1F"/>
      </w:rPr>
      <w:t xml:space="preserve">Respondent Centred Surveys: Stop, </w:t>
    </w:r>
    <w:proofErr w:type="gramStart"/>
    <w:r w:rsidRPr="009C6C61">
      <w:rPr>
        <w:i/>
        <w:color w:val="221E1F"/>
      </w:rPr>
      <w:t>Listen</w:t>
    </w:r>
    <w:proofErr w:type="gramEnd"/>
    <w:r w:rsidRPr="009C6C61">
      <w:rPr>
        <w:i/>
        <w:color w:val="221E1F"/>
      </w:rPr>
      <w:t xml:space="preserve"> and then Design</w:t>
    </w:r>
  </w:p>
  <w:p w14:paraId="5CCFD275" w14:textId="77777777" w:rsidR="004762E3" w:rsidRPr="006F059D" w:rsidRDefault="006F059D" w:rsidP="009C6C61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771876">
    <w:abstractNumId w:val="5"/>
  </w:num>
  <w:num w:numId="2" w16cid:durableId="1625186442">
    <w:abstractNumId w:val="11"/>
  </w:num>
  <w:num w:numId="3" w16cid:durableId="495073119">
    <w:abstractNumId w:val="8"/>
  </w:num>
  <w:num w:numId="4" w16cid:durableId="1045569148">
    <w:abstractNumId w:val="6"/>
  </w:num>
  <w:num w:numId="5" w16cid:durableId="448595374">
    <w:abstractNumId w:val="7"/>
  </w:num>
  <w:num w:numId="6" w16cid:durableId="97873528">
    <w:abstractNumId w:val="4"/>
  </w:num>
  <w:num w:numId="7" w16cid:durableId="700402428">
    <w:abstractNumId w:val="2"/>
  </w:num>
  <w:num w:numId="8" w16cid:durableId="1428697696">
    <w:abstractNumId w:val="1"/>
  </w:num>
  <w:num w:numId="9" w16cid:durableId="242418916">
    <w:abstractNumId w:val="0"/>
  </w:num>
  <w:num w:numId="10" w16cid:durableId="1232354887">
    <w:abstractNumId w:val="3"/>
  </w:num>
  <w:num w:numId="11" w16cid:durableId="1446847201">
    <w:abstractNumId w:val="9"/>
  </w:num>
  <w:num w:numId="12" w16cid:durableId="339284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jEwNTEyNDezMDJS0lEKTi0uzszPAykwrAUAbwImPCwAAAA="/>
  </w:docVars>
  <w:rsids>
    <w:rsidRoot w:val="00506529"/>
    <w:rsid w:val="000146BF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06529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1D8D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30403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C6C61"/>
    <w:rsid w:val="009D0947"/>
    <w:rsid w:val="009E200A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0F8D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B7929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D0AC16"/>
  <w15:docId w15:val="{12E3F2F9-C14C-477D-B555-A4D7F7B1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929"/>
    <w:pPr>
      <w:spacing w:line="360" w:lineRule="auto"/>
      <w:contextualSpacing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practice.org/article/3096-the-mode-of-invitation-for-web-surveys" TargetMode="External"/><Relationship Id="rId13" Type="http://schemas.openxmlformats.org/officeDocument/2006/relationships/hyperlink" Target="https://journals.sagepub.com/stoken/rbtfl/N0X1C8L52RO84LCY9DJSAV/pdf/10.1177/0894439311419084" TargetMode="External"/><Relationship Id="rId18" Type="http://schemas.openxmlformats.org/officeDocument/2006/relationships/hyperlink" Target="https://www.jstor.org/stable/41288396?seq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s.google.co.uk/books/about/Usability_Testing_for_Survey_Research.html?id=hSqlCgAAQBAJ&amp;printsec=frontcover&amp;source=kp_read_button&amp;redir_esc=y" TargetMode="External"/><Relationship Id="rId17" Type="http://schemas.openxmlformats.org/officeDocument/2006/relationships/hyperlink" Target="https://core.ac.uk/download/pdf/743744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derstandingsociety.ac.uk/sites/default/files/downloads/working-papers/2017-0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.sagepub.com/en-us/nam/the-sage-qualitative-research-kit/book2434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cademic.oup.com/poq/article/83/S1/280/5520778" TargetMode="External"/><Relationship Id="rId10" Type="http://schemas.openxmlformats.org/officeDocument/2006/relationships/hyperlink" Target="https://www150.statcan.gc.ca/n1/pub/12-001-x/2017001/article/14836-eng.ht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stoken/rbtfl/3OXKX3U1BEU3WZM861L1C/pdf/10.2501/IJMR-2015-046" TargetMode="External"/><Relationship Id="rId14" Type="http://schemas.openxmlformats.org/officeDocument/2006/relationships/hyperlink" Target="https://policy.bristoluniversitypress.co.uk/research-ethics-in-the-real-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15E7-799D-4752-91F3-8AB88089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7830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2021-11-22T11:32:00Z</dcterms:created>
  <dcterms:modified xsi:type="dcterms:W3CDTF">2022-05-26T10:29:00Z</dcterms:modified>
</cp:coreProperties>
</file>