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DB22" w14:textId="77777777" w:rsidR="0042013B" w:rsidRDefault="00330FBB" w:rsidP="00941F40">
      <w:pPr>
        <w:pStyle w:val="Title"/>
      </w:pPr>
      <w:r w:rsidRPr="00330FBB">
        <w:t>Activities</w:t>
      </w:r>
    </w:p>
    <w:p w14:paraId="0C0D931A" w14:textId="77777777" w:rsidR="0042013B" w:rsidRPr="00941F40" w:rsidRDefault="007A76FE" w:rsidP="00941F40">
      <w:pPr>
        <w:pStyle w:val="Heading1"/>
        <w:rPr>
          <w:b w:val="0"/>
          <w:bCs w:val="0"/>
        </w:rPr>
      </w:pPr>
      <w:r w:rsidRPr="00D52C21">
        <w:t>Chapter 5: Qualitative methodologies: An overview</w:t>
      </w:r>
    </w:p>
    <w:p w14:paraId="578DBDF3" w14:textId="77777777" w:rsidR="0042013B" w:rsidRPr="00941F40" w:rsidRDefault="00241667" w:rsidP="00941F40">
      <w:pPr>
        <w:pStyle w:val="Heading2"/>
        <w:rPr>
          <w:rFonts w:eastAsiaTheme="majorEastAsia"/>
          <w:b w:val="0"/>
          <w:bCs w:val="0"/>
          <w:szCs w:val="24"/>
        </w:rPr>
      </w:pPr>
      <w:r w:rsidRPr="00941F40">
        <w:rPr>
          <w:rFonts w:eastAsiaTheme="majorEastAsia"/>
          <w:szCs w:val="24"/>
        </w:rPr>
        <w:t>Activity 5.1</w:t>
      </w:r>
    </w:p>
    <w:p w14:paraId="73BCF009" w14:textId="77777777" w:rsidR="0042013B" w:rsidRDefault="007A76FE" w:rsidP="00941F40">
      <w:r>
        <w:t>Identify a topic from practice that you think would be appropriate for a phenomenological study. Why would phenomenology be an appropriate research method to investigate this topic?</w:t>
      </w:r>
    </w:p>
    <w:p w14:paraId="7C56013C" w14:textId="77777777" w:rsidR="0042013B" w:rsidRDefault="007A76FE" w:rsidP="00941F40">
      <w:r>
        <w:t>For an example of a study using phenomenology read the following paper:</w:t>
      </w:r>
    </w:p>
    <w:p w14:paraId="14802F79" w14:textId="0ACE3F7E" w:rsidR="0042013B" w:rsidRDefault="007A76FE" w:rsidP="00941F40">
      <w:pPr>
        <w:ind w:left="648" w:hanging="360"/>
      </w:pPr>
      <w:proofErr w:type="spellStart"/>
      <w:r>
        <w:t>Badakhsh</w:t>
      </w:r>
      <w:proofErr w:type="spellEnd"/>
      <w:r>
        <w:t>, M. Hastings-</w:t>
      </w:r>
      <w:proofErr w:type="spellStart"/>
      <w:r>
        <w:t>Tolsma</w:t>
      </w:r>
      <w:proofErr w:type="spellEnd"/>
      <w:r>
        <w:t xml:space="preserve">, M. </w:t>
      </w:r>
      <w:proofErr w:type="spellStart"/>
      <w:r>
        <w:t>Firouzkohi</w:t>
      </w:r>
      <w:proofErr w:type="spellEnd"/>
      <w:r>
        <w:t xml:space="preserve">, M. </w:t>
      </w:r>
      <w:proofErr w:type="spellStart"/>
      <w:r>
        <w:t>Amirshahi</w:t>
      </w:r>
      <w:proofErr w:type="spellEnd"/>
      <w:r>
        <w:t xml:space="preserve">, M. and Sadat Hashemi, Z. (2020) The lived experience of women with a high-risk pregnancy: A phenomenology investigation, </w:t>
      </w:r>
      <w:r w:rsidRPr="00D52C21">
        <w:rPr>
          <w:i/>
          <w:iCs/>
        </w:rPr>
        <w:t xml:space="preserve">Midwifery, </w:t>
      </w:r>
      <w:hyperlink r:id="rId8" w:history="1">
        <w:r w:rsidR="00941F40" w:rsidRPr="006450D5">
          <w:rPr>
            <w:rStyle w:val="Hyperlink"/>
          </w:rPr>
          <w:t>https://doi.org/10.1016/j.midw.2019.102625</w:t>
        </w:r>
      </w:hyperlink>
    </w:p>
    <w:p w14:paraId="20D38414" w14:textId="77777777" w:rsidR="00941F40" w:rsidRDefault="00941F40" w:rsidP="00941F40">
      <w:pPr>
        <w:ind w:left="648" w:hanging="360"/>
      </w:pPr>
    </w:p>
    <w:p w14:paraId="3A657DC6" w14:textId="77777777" w:rsidR="0042013B" w:rsidRPr="00941F40" w:rsidRDefault="00241667" w:rsidP="00941F40">
      <w:pPr>
        <w:pStyle w:val="Heading2"/>
        <w:rPr>
          <w:rFonts w:eastAsiaTheme="majorEastAsia"/>
          <w:b w:val="0"/>
          <w:bCs w:val="0"/>
          <w:szCs w:val="24"/>
        </w:rPr>
      </w:pPr>
      <w:r w:rsidRPr="00941F40">
        <w:rPr>
          <w:rFonts w:eastAsiaTheme="majorEastAsia"/>
          <w:szCs w:val="24"/>
        </w:rPr>
        <w:t>Activity 5.2</w:t>
      </w:r>
    </w:p>
    <w:p w14:paraId="547DBFCA" w14:textId="64ED34CE" w:rsidR="008179D5" w:rsidRDefault="007A76FE" w:rsidP="008179D5">
      <w:r>
        <w:t>Identify a topic from practice that you think would be appropriate for an ethnographic study. Why would ethnography be an appropriate research method to investigate this topic?</w:t>
      </w:r>
    </w:p>
    <w:p w14:paraId="0D09628A" w14:textId="77777777" w:rsidR="0042013B" w:rsidRDefault="007A76FE" w:rsidP="00941F40">
      <w:pPr>
        <w:ind w:left="360" w:hanging="360"/>
      </w:pPr>
      <w:r>
        <w:t>For an example of a study using ethnography read the following paper:</w:t>
      </w:r>
    </w:p>
    <w:p w14:paraId="7757798B" w14:textId="2663EC30" w:rsidR="008179D5" w:rsidRPr="00D52C21" w:rsidRDefault="007A76FE" w:rsidP="008179D5">
      <w:pPr>
        <w:ind w:left="648" w:hanging="360"/>
        <w:rPr>
          <w:i/>
          <w:iCs/>
        </w:rPr>
      </w:pPr>
      <w:r w:rsidRPr="007A76FE">
        <w:t xml:space="preserve">van Belle, E. </w:t>
      </w:r>
      <w:proofErr w:type="spellStart"/>
      <w:r w:rsidRPr="007A76FE">
        <w:t>Giesen</w:t>
      </w:r>
      <w:proofErr w:type="spellEnd"/>
      <w:r w:rsidRPr="007A76FE">
        <w:t xml:space="preserve">, J. Conroy, T. van </w:t>
      </w:r>
      <w:proofErr w:type="spellStart"/>
      <w:r w:rsidRPr="007A76FE">
        <w:t>Mierlo</w:t>
      </w:r>
      <w:proofErr w:type="spellEnd"/>
      <w:r w:rsidRPr="007A76FE">
        <w:t>, M. Vermeulen, H. Huisman</w:t>
      </w:r>
      <w:r w:rsidR="00241667" w:rsidRPr="00941F40">
        <w:rPr>
          <w:rFonts w:ascii="Cambria Math" w:hAnsi="Cambria Math" w:cs="Cambria Math"/>
        </w:rPr>
        <w:t>‐</w:t>
      </w:r>
      <w:r w:rsidRPr="007A76FE">
        <w:t>de</w:t>
      </w:r>
      <w:r w:rsidR="00F55069" w:rsidRPr="00F55069">
        <w:t xml:space="preserve"> Waal, G. and Heinen, M. (2019) Exploring person</w:t>
      </w:r>
      <w:r w:rsidR="00241667" w:rsidRPr="00941F40">
        <w:rPr>
          <w:rFonts w:ascii="Cambria Math" w:hAnsi="Cambria Math" w:cs="Cambria Math"/>
        </w:rPr>
        <w:t>‐</w:t>
      </w:r>
      <w:proofErr w:type="spellStart"/>
      <w:r w:rsidRPr="007A76FE">
        <w:t>centred</w:t>
      </w:r>
      <w:proofErr w:type="spellEnd"/>
      <w:r w:rsidRPr="007A76FE">
        <w:t xml:space="preserve"> fundamental nursing care in hospital wards: A multi</w:t>
      </w:r>
      <w:r w:rsidR="00241667" w:rsidRPr="00941F40">
        <w:rPr>
          <w:rFonts w:ascii="Cambria Math" w:hAnsi="Cambria Math" w:cs="Cambria Math"/>
        </w:rPr>
        <w:t>‐</w:t>
      </w:r>
      <w:r w:rsidRPr="007A76FE">
        <w:t xml:space="preserve">site ethnography, </w:t>
      </w:r>
      <w:r w:rsidR="00F55069" w:rsidRPr="00D52C21">
        <w:rPr>
          <w:i/>
          <w:iCs/>
        </w:rPr>
        <w:t>Journal of Clinical Nursing Studies,</w:t>
      </w:r>
    </w:p>
    <w:p w14:paraId="71DECE91" w14:textId="185E1D18" w:rsidR="0042013B" w:rsidRDefault="007A76FE" w:rsidP="00941F40">
      <w:pPr>
        <w:ind w:left="648" w:hanging="360"/>
      </w:pPr>
      <w:r w:rsidRPr="007A76FE">
        <w:t>DOI: 10.1111/jocn.15024</w:t>
      </w:r>
    </w:p>
    <w:p w14:paraId="6D8ED56B" w14:textId="77777777" w:rsidR="00941F40" w:rsidRPr="00941F40" w:rsidRDefault="00941F40" w:rsidP="00941F40">
      <w:pPr>
        <w:ind w:left="648" w:hanging="360"/>
        <w:rPr>
          <w:b/>
          <w:bCs/>
        </w:rPr>
      </w:pPr>
    </w:p>
    <w:p w14:paraId="2F5B17B6" w14:textId="77777777" w:rsidR="0042013B" w:rsidRPr="00941F40" w:rsidRDefault="00241667" w:rsidP="00941F40">
      <w:pPr>
        <w:pStyle w:val="Heading2"/>
        <w:rPr>
          <w:rFonts w:eastAsiaTheme="majorEastAsia"/>
          <w:b w:val="0"/>
          <w:bCs w:val="0"/>
          <w:szCs w:val="24"/>
        </w:rPr>
      </w:pPr>
      <w:r w:rsidRPr="00941F40">
        <w:rPr>
          <w:rFonts w:eastAsiaTheme="majorEastAsia"/>
          <w:szCs w:val="24"/>
        </w:rPr>
        <w:t>Activity 5.3</w:t>
      </w:r>
    </w:p>
    <w:p w14:paraId="035ACC24" w14:textId="7F1252CA" w:rsidR="008179D5" w:rsidRDefault="007A76FE" w:rsidP="008179D5">
      <w:r>
        <w:t xml:space="preserve">Identify a topic from practice that you think would be appropriate for a grounded theory study. Why would </w:t>
      </w:r>
      <w:proofErr w:type="gramStart"/>
      <w:r>
        <w:t>grounded</w:t>
      </w:r>
      <w:proofErr w:type="gramEnd"/>
      <w:r>
        <w:t xml:space="preserve"> theory be an appropriate research method to investigate this topic?</w:t>
      </w:r>
    </w:p>
    <w:p w14:paraId="7C3CBF02" w14:textId="77777777" w:rsidR="0042013B" w:rsidRDefault="007A76FE" w:rsidP="00941F40">
      <w:r>
        <w:t>For an example of a study using grounded theory read the following paper:</w:t>
      </w:r>
    </w:p>
    <w:p w14:paraId="4E276D73" w14:textId="6ECD2B0A" w:rsidR="0042013B" w:rsidRDefault="007A76FE" w:rsidP="00941F40">
      <w:pPr>
        <w:ind w:left="648" w:hanging="360"/>
      </w:pPr>
      <w:proofErr w:type="spellStart"/>
      <w:r>
        <w:lastRenderedPageBreak/>
        <w:t>Porr</w:t>
      </w:r>
      <w:proofErr w:type="spellEnd"/>
      <w:r>
        <w:t xml:space="preserve">, C. </w:t>
      </w:r>
      <w:proofErr w:type="spellStart"/>
      <w:r>
        <w:t>Gaudine</w:t>
      </w:r>
      <w:proofErr w:type="spellEnd"/>
      <w:r>
        <w:t>, A. Woo, K. Smith-Young, J. and Green, C.</w:t>
      </w:r>
      <w:r w:rsidR="008179D5">
        <w:t xml:space="preserve"> </w:t>
      </w:r>
      <w:r>
        <w:t xml:space="preserve">(2019) How Community Nurses Manage Ethical Conflicts: A Grounded Theory Study, </w:t>
      </w:r>
      <w:r w:rsidRPr="00D52C21">
        <w:rPr>
          <w:i/>
          <w:iCs/>
        </w:rPr>
        <w:t xml:space="preserve">Global Qualitative Nursing Research, </w:t>
      </w:r>
      <w:r>
        <w:t>6:1</w:t>
      </w:r>
      <w:r w:rsidR="004C2018">
        <w:t>–</w:t>
      </w:r>
      <w:r>
        <w:t>9.</w:t>
      </w:r>
      <w:r w:rsidR="00941F40">
        <w:t xml:space="preserve"> </w:t>
      </w:r>
      <w:hyperlink r:id="rId9" w:history="1">
        <w:r w:rsidR="00941F40" w:rsidRPr="006450D5">
          <w:rPr>
            <w:rStyle w:val="Hyperlink"/>
          </w:rPr>
          <w:t>https://doi.org/10.1177%</w:t>
        </w:r>
        <w:r w:rsidR="00941F40" w:rsidRPr="006450D5">
          <w:rPr>
            <w:rStyle w:val="Hyperlink"/>
          </w:rPr>
          <w:t>2</w:t>
        </w:r>
        <w:r w:rsidR="00941F40" w:rsidRPr="006450D5">
          <w:rPr>
            <w:rStyle w:val="Hyperlink"/>
          </w:rPr>
          <w:t>F2333393619894958</w:t>
        </w:r>
      </w:hyperlink>
      <w:r w:rsidR="00941F40">
        <w:t xml:space="preserve"> </w:t>
      </w:r>
    </w:p>
    <w:p w14:paraId="536D04CD" w14:textId="77777777" w:rsidR="00941F40" w:rsidRDefault="00941F40" w:rsidP="00941F40">
      <w:pPr>
        <w:ind w:left="648" w:hanging="360"/>
      </w:pPr>
    </w:p>
    <w:p w14:paraId="3D8FA1CD" w14:textId="77777777" w:rsidR="0042013B" w:rsidRPr="00941F40" w:rsidRDefault="00241667" w:rsidP="00941F40">
      <w:pPr>
        <w:pStyle w:val="Heading2"/>
        <w:rPr>
          <w:rFonts w:eastAsiaTheme="majorEastAsia"/>
          <w:b w:val="0"/>
          <w:bCs w:val="0"/>
          <w:szCs w:val="24"/>
        </w:rPr>
      </w:pPr>
      <w:r w:rsidRPr="00941F40">
        <w:rPr>
          <w:rFonts w:eastAsiaTheme="majorEastAsia"/>
          <w:szCs w:val="24"/>
        </w:rPr>
        <w:t>Activity 5.4</w:t>
      </w:r>
    </w:p>
    <w:p w14:paraId="6E41587E" w14:textId="2B74A9F5" w:rsidR="008179D5" w:rsidRDefault="007A76FE" w:rsidP="008179D5">
      <w:r>
        <w:t>Identify a topic from practice that you think would be appropriate for an action research study. Why would action research be an appropriate method to investigate this topic?</w:t>
      </w:r>
      <w:r w:rsidR="008179D5">
        <w:t xml:space="preserve"> </w:t>
      </w:r>
    </w:p>
    <w:p w14:paraId="27D7E48D" w14:textId="77777777" w:rsidR="0042013B" w:rsidRDefault="007A76FE" w:rsidP="00941F40">
      <w:pPr>
        <w:ind w:left="360" w:hanging="360"/>
      </w:pPr>
      <w:r>
        <w:t>For an example of a study using action research read the following paper:</w:t>
      </w:r>
    </w:p>
    <w:p w14:paraId="49544C6D" w14:textId="72B32A3F" w:rsidR="0042013B" w:rsidRDefault="007A76FE" w:rsidP="00941F40">
      <w:pPr>
        <w:ind w:left="648" w:hanging="360"/>
      </w:pPr>
      <w:r>
        <w:t xml:space="preserve">Hickey, S.D. Maidment, S-J. Heineman, K.M. Roe, Y.L. and </w:t>
      </w:r>
      <w:proofErr w:type="spellStart"/>
      <w:r>
        <w:t>Kildea</w:t>
      </w:r>
      <w:proofErr w:type="spellEnd"/>
      <w:r>
        <w:t>, S.V.</w:t>
      </w:r>
      <w:r w:rsidR="008179D5">
        <w:t xml:space="preserve"> </w:t>
      </w:r>
      <w:r>
        <w:t xml:space="preserve">(2018) Participatory action research opens doors: Mentoring Indigenous researchers to improve midwifery in urban Australia, </w:t>
      </w:r>
      <w:r w:rsidRPr="00D52C21">
        <w:rPr>
          <w:i/>
          <w:iCs/>
        </w:rPr>
        <w:t xml:space="preserve">Women and Birth, </w:t>
      </w:r>
      <w:r>
        <w:t>31:263</w:t>
      </w:r>
      <w:r w:rsidR="004C2018">
        <w:t>–</w:t>
      </w:r>
      <w:r>
        <w:t>268.</w:t>
      </w:r>
    </w:p>
    <w:p w14:paraId="5E68B316" w14:textId="77777777" w:rsidR="00941F40" w:rsidRDefault="00941F40" w:rsidP="00941F40">
      <w:pPr>
        <w:ind w:left="648" w:hanging="360"/>
      </w:pPr>
    </w:p>
    <w:p w14:paraId="5FF72C39" w14:textId="77777777" w:rsidR="0042013B" w:rsidRPr="00941F40" w:rsidRDefault="00241667" w:rsidP="00941F40">
      <w:pPr>
        <w:pStyle w:val="Heading2"/>
        <w:rPr>
          <w:rFonts w:eastAsiaTheme="majorEastAsia"/>
          <w:b w:val="0"/>
          <w:bCs w:val="0"/>
          <w:szCs w:val="24"/>
        </w:rPr>
      </w:pPr>
      <w:r w:rsidRPr="00941F40">
        <w:rPr>
          <w:rFonts w:eastAsiaTheme="majorEastAsia"/>
          <w:szCs w:val="24"/>
        </w:rPr>
        <w:t>Activity 5.5</w:t>
      </w:r>
    </w:p>
    <w:p w14:paraId="4B4BFE7E" w14:textId="3E5388F7" w:rsidR="008179D5" w:rsidRDefault="007A76FE" w:rsidP="008179D5">
      <w:r>
        <w:t xml:space="preserve">Chose a broad topic, problem or issue that relates to your practice, examples could include breastfeeding, wound </w:t>
      </w:r>
      <w:proofErr w:type="gramStart"/>
      <w:r>
        <w:t>care</w:t>
      </w:r>
      <w:proofErr w:type="gramEnd"/>
      <w:r>
        <w:t xml:space="preserve"> or administration of medicines. Using a mind map, identify all of the issues relating to your chosen topic that could be explored in a research study. Then identify the most appropriate research method to address each issue. Try to identify at least one aspect of the topic for each of the research methods that we have outlined in chapters 4 and 5: </w:t>
      </w:r>
      <w:proofErr w:type="spellStart"/>
      <w:r>
        <w:t>randomised</w:t>
      </w:r>
      <w:proofErr w:type="spellEnd"/>
      <w:r>
        <w:t xml:space="preserve"> controlled trial, cohort study, case-control study, survey, phenomenology, ethnography, grounded </w:t>
      </w:r>
      <w:proofErr w:type="gramStart"/>
      <w:r>
        <w:t>theory</w:t>
      </w:r>
      <w:proofErr w:type="gramEnd"/>
      <w:r>
        <w:t xml:space="preserve"> and action research.</w:t>
      </w:r>
    </w:p>
    <w:p w14:paraId="25BA2F3E" w14:textId="77777777" w:rsidR="00941F40" w:rsidRDefault="00941F40" w:rsidP="008179D5"/>
    <w:p w14:paraId="4B8EF45B" w14:textId="77777777" w:rsidR="0042013B" w:rsidRPr="00941F40" w:rsidRDefault="00241667" w:rsidP="00941F40">
      <w:pPr>
        <w:pStyle w:val="Heading2"/>
        <w:rPr>
          <w:rFonts w:eastAsiaTheme="majorEastAsia"/>
          <w:b w:val="0"/>
          <w:bCs w:val="0"/>
          <w:szCs w:val="24"/>
        </w:rPr>
      </w:pPr>
      <w:r w:rsidRPr="00941F40">
        <w:rPr>
          <w:rFonts w:eastAsiaTheme="majorEastAsia"/>
          <w:szCs w:val="24"/>
        </w:rPr>
        <w:t>Activity 5.6</w:t>
      </w:r>
    </w:p>
    <w:p w14:paraId="4E0D6CE7" w14:textId="0BCDACCC" w:rsidR="008179D5" w:rsidRDefault="007A76FE" w:rsidP="008179D5">
      <w:r>
        <w:t>As we have seen, some researchers are firmly positioned in one methodological ‘camp’ and consider the opposing methodology too flawed to be used. Table 1 below outlines other, in some case</w:t>
      </w:r>
      <w:r w:rsidR="001718F9">
        <w:t>s</w:t>
      </w:r>
      <w:r>
        <w:t xml:space="preserve"> more contentious views regarding qualitative and quantitative methodologies.</w:t>
      </w:r>
    </w:p>
    <w:p w14:paraId="4F012C7F" w14:textId="77777777" w:rsidR="0042013B" w:rsidRDefault="007A76FE" w:rsidP="00941F40">
      <w:r>
        <w:t>Table 1 More contentious views regarding the characteristics of quantitative and qualitative methodologies.</w:t>
      </w:r>
    </w:p>
    <w:tbl>
      <w:tblPr>
        <w:tblStyle w:val="TableGrid"/>
        <w:tblW w:w="5000" w:type="pct"/>
        <w:tblLook w:val="04A0" w:firstRow="1" w:lastRow="0" w:firstColumn="1" w:lastColumn="0" w:noHBand="0" w:noVBand="1"/>
      </w:tblPr>
      <w:tblGrid>
        <w:gridCol w:w="4355"/>
        <w:gridCol w:w="4861"/>
      </w:tblGrid>
      <w:tr w:rsidR="00330FBB" w:rsidRPr="00CF6372" w14:paraId="3929D874" w14:textId="77777777" w:rsidTr="00941F40">
        <w:tc>
          <w:tcPr>
            <w:tcW w:w="2363" w:type="pct"/>
          </w:tcPr>
          <w:p w14:paraId="7B14F25A" w14:textId="77777777" w:rsidR="0042013B" w:rsidRDefault="00B358D2" w:rsidP="00941F40">
            <w:pPr>
              <w:rPr>
                <w:rFonts w:eastAsia="Times New Roman" w:cs="Times New Roman"/>
                <w:b/>
                <w:szCs w:val="24"/>
                <w:lang w:val="en-US"/>
              </w:rPr>
            </w:pPr>
            <w:r w:rsidRPr="00D52C21">
              <w:rPr>
                <w:b/>
              </w:rPr>
              <w:t>Quantitative</w:t>
            </w:r>
          </w:p>
        </w:tc>
        <w:tc>
          <w:tcPr>
            <w:tcW w:w="2637" w:type="pct"/>
          </w:tcPr>
          <w:p w14:paraId="0B6EEA94" w14:textId="6C6ABBE3" w:rsidR="0042013B" w:rsidRPr="00D52C21" w:rsidRDefault="00B358D2" w:rsidP="00941F40">
            <w:pPr>
              <w:rPr>
                <w:rFonts w:eastAsia="Times New Roman" w:cs="Times New Roman"/>
                <w:b/>
                <w:szCs w:val="24"/>
                <w:lang w:val="en-US"/>
              </w:rPr>
            </w:pPr>
            <w:r w:rsidRPr="00D52C21">
              <w:rPr>
                <w:b/>
              </w:rPr>
              <w:t>Qualitative</w:t>
            </w:r>
          </w:p>
        </w:tc>
      </w:tr>
      <w:tr w:rsidR="00330FBB" w:rsidRPr="00CF6372" w14:paraId="423BA12E" w14:textId="77777777" w:rsidTr="00941F40">
        <w:tc>
          <w:tcPr>
            <w:tcW w:w="2363" w:type="pct"/>
          </w:tcPr>
          <w:p w14:paraId="5E232E4C" w14:textId="55B6F2FE" w:rsidR="0042013B" w:rsidRDefault="00B358D2" w:rsidP="00941F40">
            <w:pPr>
              <w:rPr>
                <w:rFonts w:eastAsia="Times New Roman" w:cs="Times New Roman"/>
                <w:szCs w:val="24"/>
                <w:lang w:val="en-US"/>
              </w:rPr>
            </w:pPr>
            <w:r>
              <w:t>Easy to do</w:t>
            </w:r>
          </w:p>
        </w:tc>
        <w:tc>
          <w:tcPr>
            <w:tcW w:w="2637" w:type="pct"/>
          </w:tcPr>
          <w:p w14:paraId="06B3FE9E" w14:textId="77777777" w:rsidR="0042013B" w:rsidRDefault="00B358D2" w:rsidP="00941F40">
            <w:pPr>
              <w:rPr>
                <w:rFonts w:eastAsia="Times New Roman" w:cs="Times New Roman"/>
                <w:szCs w:val="24"/>
                <w:lang w:val="en-US"/>
              </w:rPr>
            </w:pPr>
            <w:r>
              <w:t>Difficult to do</w:t>
            </w:r>
          </w:p>
        </w:tc>
      </w:tr>
      <w:tr w:rsidR="00330FBB" w:rsidRPr="00CF6372" w14:paraId="076BBB88" w14:textId="77777777" w:rsidTr="00941F40">
        <w:tc>
          <w:tcPr>
            <w:tcW w:w="2363" w:type="pct"/>
          </w:tcPr>
          <w:p w14:paraId="05168310" w14:textId="6694DA1B" w:rsidR="0042013B" w:rsidRDefault="00B358D2" w:rsidP="00941F40">
            <w:pPr>
              <w:rPr>
                <w:rFonts w:eastAsia="Times New Roman" w:cs="Times New Roman"/>
                <w:szCs w:val="24"/>
                <w:lang w:val="en-US"/>
              </w:rPr>
            </w:pPr>
            <w:r>
              <w:t>Quantity</w:t>
            </w:r>
          </w:p>
        </w:tc>
        <w:tc>
          <w:tcPr>
            <w:tcW w:w="2637" w:type="pct"/>
          </w:tcPr>
          <w:p w14:paraId="4BAEAE91" w14:textId="77777777" w:rsidR="0042013B" w:rsidRDefault="00B358D2" w:rsidP="00941F40">
            <w:pPr>
              <w:rPr>
                <w:rFonts w:eastAsia="Times New Roman" w:cs="Times New Roman"/>
                <w:szCs w:val="24"/>
                <w:lang w:val="en-US"/>
              </w:rPr>
            </w:pPr>
            <w:r>
              <w:t>Quality</w:t>
            </w:r>
          </w:p>
        </w:tc>
      </w:tr>
      <w:tr w:rsidR="00330FBB" w:rsidRPr="00CF6372" w14:paraId="52A77EAA" w14:textId="77777777" w:rsidTr="00941F40">
        <w:tc>
          <w:tcPr>
            <w:tcW w:w="2363" w:type="pct"/>
          </w:tcPr>
          <w:p w14:paraId="43734862" w14:textId="09EC97E6" w:rsidR="0042013B" w:rsidRDefault="001718F9" w:rsidP="00941F40">
            <w:pPr>
              <w:rPr>
                <w:rFonts w:eastAsia="Times New Roman" w:cs="Times New Roman"/>
                <w:szCs w:val="24"/>
                <w:lang w:val="en-US"/>
              </w:rPr>
            </w:pPr>
            <w:r>
              <w:t>Top-</w:t>
            </w:r>
            <w:r w:rsidR="00B358D2">
              <w:t>down approach</w:t>
            </w:r>
          </w:p>
        </w:tc>
        <w:tc>
          <w:tcPr>
            <w:tcW w:w="2637" w:type="pct"/>
          </w:tcPr>
          <w:p w14:paraId="38ACA7A0" w14:textId="548C1876" w:rsidR="0042013B" w:rsidRDefault="001718F9" w:rsidP="00941F40">
            <w:pPr>
              <w:rPr>
                <w:rFonts w:eastAsia="Times New Roman" w:cs="Times New Roman"/>
                <w:szCs w:val="24"/>
                <w:lang w:val="en-US"/>
              </w:rPr>
            </w:pPr>
            <w:r>
              <w:t>Bottom-</w:t>
            </w:r>
            <w:r w:rsidR="00B358D2">
              <w:t>up approach</w:t>
            </w:r>
          </w:p>
        </w:tc>
      </w:tr>
      <w:tr w:rsidR="00330FBB" w:rsidRPr="00CF6372" w14:paraId="6707D9BE" w14:textId="77777777" w:rsidTr="00941F40">
        <w:tc>
          <w:tcPr>
            <w:tcW w:w="2363" w:type="pct"/>
          </w:tcPr>
          <w:p w14:paraId="3842F03F" w14:textId="1D9352C4" w:rsidR="0042013B" w:rsidRDefault="00B358D2" w:rsidP="00941F40">
            <w:pPr>
              <w:rPr>
                <w:rFonts w:eastAsia="Times New Roman" w:cs="Times New Roman"/>
                <w:szCs w:val="24"/>
                <w:lang w:val="en-US"/>
              </w:rPr>
            </w:pPr>
            <w:r>
              <w:lastRenderedPageBreak/>
              <w:t>Hard</w:t>
            </w:r>
          </w:p>
        </w:tc>
        <w:tc>
          <w:tcPr>
            <w:tcW w:w="2637" w:type="pct"/>
          </w:tcPr>
          <w:p w14:paraId="7B076DAF" w14:textId="77777777" w:rsidR="0042013B" w:rsidRDefault="00B358D2" w:rsidP="00941F40">
            <w:pPr>
              <w:rPr>
                <w:rFonts w:eastAsia="Times New Roman" w:cs="Times New Roman"/>
                <w:szCs w:val="24"/>
                <w:lang w:val="en-US"/>
              </w:rPr>
            </w:pPr>
            <w:r>
              <w:t>Soft</w:t>
            </w:r>
          </w:p>
        </w:tc>
      </w:tr>
      <w:tr w:rsidR="00330FBB" w:rsidRPr="00CF6372" w14:paraId="3053B17B" w14:textId="77777777" w:rsidTr="00941F40">
        <w:tc>
          <w:tcPr>
            <w:tcW w:w="2363" w:type="pct"/>
          </w:tcPr>
          <w:p w14:paraId="36A36DF4" w14:textId="37DAF242" w:rsidR="0042013B" w:rsidRDefault="00B358D2" w:rsidP="00941F40">
            <w:pPr>
              <w:rPr>
                <w:rFonts w:eastAsia="Times New Roman" w:cs="Times New Roman"/>
                <w:szCs w:val="24"/>
                <w:lang w:val="en-US"/>
              </w:rPr>
            </w:pPr>
            <w:r>
              <w:t>Masculine</w:t>
            </w:r>
          </w:p>
        </w:tc>
        <w:tc>
          <w:tcPr>
            <w:tcW w:w="2637" w:type="pct"/>
          </w:tcPr>
          <w:p w14:paraId="36BDF458" w14:textId="77777777" w:rsidR="0042013B" w:rsidRDefault="00B358D2" w:rsidP="00941F40">
            <w:pPr>
              <w:rPr>
                <w:rFonts w:eastAsia="Times New Roman" w:cs="Times New Roman"/>
                <w:szCs w:val="24"/>
                <w:lang w:val="en-US"/>
              </w:rPr>
            </w:pPr>
            <w:r>
              <w:t>Feminine</w:t>
            </w:r>
          </w:p>
        </w:tc>
      </w:tr>
      <w:tr w:rsidR="00330FBB" w:rsidRPr="00CF6372" w14:paraId="0DBCB6C7" w14:textId="77777777" w:rsidTr="00941F40">
        <w:tc>
          <w:tcPr>
            <w:tcW w:w="2363" w:type="pct"/>
          </w:tcPr>
          <w:p w14:paraId="62C51C0B" w14:textId="658CABA3" w:rsidR="0042013B" w:rsidRDefault="00B358D2" w:rsidP="00941F40">
            <w:pPr>
              <w:rPr>
                <w:rFonts w:eastAsia="Times New Roman" w:cs="Times New Roman"/>
                <w:szCs w:val="24"/>
                <w:lang w:val="en-US"/>
              </w:rPr>
            </w:pPr>
            <w:r>
              <w:t>Serious</w:t>
            </w:r>
          </w:p>
        </w:tc>
        <w:tc>
          <w:tcPr>
            <w:tcW w:w="2637" w:type="pct"/>
          </w:tcPr>
          <w:p w14:paraId="3ED1B294" w14:textId="77777777" w:rsidR="0042013B" w:rsidRDefault="00B358D2" w:rsidP="00941F40">
            <w:pPr>
              <w:rPr>
                <w:rFonts w:eastAsia="Times New Roman" w:cs="Times New Roman"/>
                <w:szCs w:val="24"/>
                <w:lang w:val="en-US"/>
              </w:rPr>
            </w:pPr>
            <w:r>
              <w:t>Trivial</w:t>
            </w:r>
          </w:p>
        </w:tc>
      </w:tr>
      <w:tr w:rsidR="00330FBB" w:rsidRPr="00CF6372" w14:paraId="1510B7B4" w14:textId="77777777" w:rsidTr="00941F40">
        <w:tc>
          <w:tcPr>
            <w:tcW w:w="2363" w:type="pct"/>
          </w:tcPr>
          <w:p w14:paraId="30BAF908" w14:textId="60A16800" w:rsidR="0042013B" w:rsidRDefault="00B358D2" w:rsidP="00941F40">
            <w:pPr>
              <w:rPr>
                <w:rFonts w:eastAsia="Times New Roman" w:cs="Times New Roman"/>
                <w:szCs w:val="24"/>
                <w:lang w:val="en-US"/>
              </w:rPr>
            </w:pPr>
            <w:r>
              <w:t>Evidence</w:t>
            </w:r>
          </w:p>
        </w:tc>
        <w:tc>
          <w:tcPr>
            <w:tcW w:w="2637" w:type="pct"/>
          </w:tcPr>
          <w:p w14:paraId="0FF0699F" w14:textId="77777777" w:rsidR="0042013B" w:rsidRDefault="00B358D2" w:rsidP="00941F40">
            <w:pPr>
              <w:rPr>
                <w:rFonts w:eastAsia="Times New Roman" w:cs="Times New Roman"/>
                <w:szCs w:val="24"/>
                <w:lang w:val="en-US"/>
              </w:rPr>
            </w:pPr>
            <w:r>
              <w:t>Opinion</w:t>
            </w:r>
          </w:p>
        </w:tc>
      </w:tr>
      <w:tr w:rsidR="00330FBB" w:rsidRPr="00CF6372" w14:paraId="5C7E2EF4" w14:textId="77777777" w:rsidTr="00941F40">
        <w:tc>
          <w:tcPr>
            <w:tcW w:w="2363" w:type="pct"/>
          </w:tcPr>
          <w:p w14:paraId="49AD1B0A" w14:textId="2B1FB566" w:rsidR="0042013B" w:rsidRDefault="00B358D2" w:rsidP="00941F40">
            <w:pPr>
              <w:rPr>
                <w:rFonts w:eastAsia="Times New Roman" w:cs="Times New Roman"/>
                <w:szCs w:val="24"/>
                <w:lang w:val="en-US"/>
              </w:rPr>
            </w:pPr>
            <w:r>
              <w:t>Scientific</w:t>
            </w:r>
          </w:p>
        </w:tc>
        <w:tc>
          <w:tcPr>
            <w:tcW w:w="2637" w:type="pct"/>
          </w:tcPr>
          <w:p w14:paraId="10F32FD1" w14:textId="77777777" w:rsidR="0042013B" w:rsidRDefault="00B358D2" w:rsidP="00941F40">
            <w:pPr>
              <w:rPr>
                <w:rFonts w:eastAsia="Times New Roman" w:cs="Times New Roman"/>
                <w:szCs w:val="24"/>
                <w:lang w:val="en-US"/>
              </w:rPr>
            </w:pPr>
            <w:r>
              <w:t>Not scientific</w:t>
            </w:r>
          </w:p>
        </w:tc>
      </w:tr>
      <w:tr w:rsidR="00330FBB" w:rsidRPr="00CF6372" w14:paraId="129AA5AD" w14:textId="77777777" w:rsidTr="00941F40">
        <w:tc>
          <w:tcPr>
            <w:tcW w:w="2363" w:type="pct"/>
          </w:tcPr>
          <w:p w14:paraId="6D7D41D5" w14:textId="7A7EC505" w:rsidR="0042013B" w:rsidRDefault="00B358D2" w:rsidP="00941F40">
            <w:pPr>
              <w:rPr>
                <w:rFonts w:eastAsia="Times New Roman" w:cs="Times New Roman"/>
                <w:szCs w:val="24"/>
                <w:lang w:val="en-US"/>
              </w:rPr>
            </w:pPr>
            <w:r>
              <w:t>Systematic</w:t>
            </w:r>
          </w:p>
        </w:tc>
        <w:tc>
          <w:tcPr>
            <w:tcW w:w="2637" w:type="pct"/>
          </w:tcPr>
          <w:p w14:paraId="79537ACB" w14:textId="77777777" w:rsidR="0042013B" w:rsidRDefault="00B358D2" w:rsidP="00941F40">
            <w:pPr>
              <w:rPr>
                <w:rFonts w:eastAsia="Times New Roman" w:cs="Times New Roman"/>
                <w:szCs w:val="24"/>
                <w:lang w:val="en-US"/>
              </w:rPr>
            </w:pPr>
            <w:r>
              <w:t>Disorganized, haphazard</w:t>
            </w:r>
          </w:p>
        </w:tc>
      </w:tr>
      <w:tr w:rsidR="00330FBB" w:rsidRPr="00CF6372" w14:paraId="32B1E3BC" w14:textId="77777777" w:rsidTr="00941F40">
        <w:tc>
          <w:tcPr>
            <w:tcW w:w="2363" w:type="pct"/>
          </w:tcPr>
          <w:p w14:paraId="15C1F2F7" w14:textId="6C594F25" w:rsidR="0042013B" w:rsidRDefault="00B358D2" w:rsidP="00941F40">
            <w:pPr>
              <w:rPr>
                <w:rFonts w:eastAsia="Times New Roman" w:cs="Times New Roman"/>
                <w:szCs w:val="24"/>
                <w:lang w:val="en-US"/>
              </w:rPr>
            </w:pPr>
            <w:r>
              <w:t>Artificial</w:t>
            </w:r>
          </w:p>
        </w:tc>
        <w:tc>
          <w:tcPr>
            <w:tcW w:w="2637" w:type="pct"/>
          </w:tcPr>
          <w:p w14:paraId="4C92B18A" w14:textId="77777777" w:rsidR="0042013B" w:rsidRDefault="00B358D2" w:rsidP="00941F40">
            <w:pPr>
              <w:rPr>
                <w:rFonts w:eastAsia="Times New Roman" w:cs="Times New Roman"/>
                <w:szCs w:val="24"/>
                <w:lang w:val="en-US"/>
              </w:rPr>
            </w:pPr>
            <w:r>
              <w:t>Natural</w:t>
            </w:r>
          </w:p>
        </w:tc>
      </w:tr>
      <w:tr w:rsidR="00330FBB" w:rsidRPr="00CF6372" w14:paraId="1D9ED86B" w14:textId="77777777" w:rsidTr="00941F40">
        <w:tc>
          <w:tcPr>
            <w:tcW w:w="2363" w:type="pct"/>
          </w:tcPr>
          <w:p w14:paraId="0CA715D8" w14:textId="393E21DF" w:rsidR="0042013B" w:rsidRDefault="00B358D2" w:rsidP="00941F40">
            <w:pPr>
              <w:rPr>
                <w:rFonts w:eastAsia="Times New Roman" w:cs="Times New Roman"/>
                <w:szCs w:val="24"/>
                <w:lang w:val="en-US"/>
              </w:rPr>
            </w:pPr>
            <w:r>
              <w:t>Rigid</w:t>
            </w:r>
          </w:p>
        </w:tc>
        <w:tc>
          <w:tcPr>
            <w:tcW w:w="2637" w:type="pct"/>
          </w:tcPr>
          <w:p w14:paraId="00FDA490" w14:textId="77777777" w:rsidR="0042013B" w:rsidRDefault="00B358D2" w:rsidP="00941F40">
            <w:pPr>
              <w:rPr>
                <w:rFonts w:eastAsia="Times New Roman" w:cs="Times New Roman"/>
                <w:szCs w:val="24"/>
                <w:lang w:val="en-US"/>
              </w:rPr>
            </w:pPr>
            <w:r>
              <w:t>Responsive</w:t>
            </w:r>
          </w:p>
        </w:tc>
      </w:tr>
      <w:tr w:rsidR="00330FBB" w:rsidRPr="00CF6372" w14:paraId="7CA8173B" w14:textId="77777777" w:rsidTr="00941F40">
        <w:tc>
          <w:tcPr>
            <w:tcW w:w="2363" w:type="pct"/>
          </w:tcPr>
          <w:p w14:paraId="6B28AEE5" w14:textId="48729748" w:rsidR="0042013B" w:rsidRDefault="001718F9" w:rsidP="00941F40">
            <w:pPr>
              <w:rPr>
                <w:rFonts w:eastAsia="Times New Roman" w:cs="Times New Roman"/>
                <w:szCs w:val="24"/>
                <w:lang w:val="en-US"/>
              </w:rPr>
            </w:pPr>
            <w:r>
              <w:t>Hypothesis-</w:t>
            </w:r>
            <w:r w:rsidR="00B358D2">
              <w:t>driven</w:t>
            </w:r>
          </w:p>
        </w:tc>
        <w:tc>
          <w:tcPr>
            <w:tcW w:w="2637" w:type="pct"/>
          </w:tcPr>
          <w:p w14:paraId="12CA799C" w14:textId="6F2278D9" w:rsidR="0042013B" w:rsidRDefault="001718F9" w:rsidP="00941F40">
            <w:pPr>
              <w:rPr>
                <w:rFonts w:eastAsia="Times New Roman" w:cs="Times New Roman"/>
                <w:szCs w:val="24"/>
                <w:lang w:val="en-US"/>
              </w:rPr>
            </w:pPr>
            <w:r>
              <w:t>Person-</w:t>
            </w:r>
            <w:r w:rsidR="00B358D2">
              <w:t>centred</w:t>
            </w:r>
          </w:p>
        </w:tc>
      </w:tr>
      <w:tr w:rsidR="00330FBB" w:rsidRPr="00CF6372" w14:paraId="039D0DE1" w14:textId="77777777" w:rsidTr="00941F40">
        <w:tc>
          <w:tcPr>
            <w:tcW w:w="2363" w:type="pct"/>
          </w:tcPr>
          <w:p w14:paraId="51948D4E" w14:textId="188318EA" w:rsidR="0042013B" w:rsidRDefault="00B358D2" w:rsidP="00941F40">
            <w:pPr>
              <w:rPr>
                <w:rFonts w:eastAsia="Times New Roman" w:cs="Times New Roman"/>
                <w:szCs w:val="24"/>
                <w:lang w:val="en-US"/>
              </w:rPr>
            </w:pPr>
            <w:r>
              <w:t>Quick</w:t>
            </w:r>
          </w:p>
        </w:tc>
        <w:tc>
          <w:tcPr>
            <w:tcW w:w="2637" w:type="pct"/>
          </w:tcPr>
          <w:p w14:paraId="4AFDBF34" w14:textId="785F9B0D" w:rsidR="0042013B" w:rsidRDefault="001718F9" w:rsidP="00941F40">
            <w:pPr>
              <w:rPr>
                <w:rFonts w:eastAsia="Times New Roman" w:cs="Times New Roman"/>
                <w:szCs w:val="24"/>
                <w:lang w:val="en-US"/>
              </w:rPr>
            </w:pPr>
            <w:r>
              <w:t>Time-</w:t>
            </w:r>
            <w:r w:rsidR="00B358D2">
              <w:t>consuming</w:t>
            </w:r>
          </w:p>
        </w:tc>
      </w:tr>
      <w:tr w:rsidR="00330FBB" w:rsidRPr="00CF6372" w14:paraId="3E08D7A0" w14:textId="77777777" w:rsidTr="00941F40">
        <w:tc>
          <w:tcPr>
            <w:tcW w:w="2363" w:type="pct"/>
          </w:tcPr>
          <w:p w14:paraId="58E798BB" w14:textId="06CC3DF5" w:rsidR="0042013B" w:rsidRDefault="00B358D2" w:rsidP="00941F40">
            <w:pPr>
              <w:rPr>
                <w:rFonts w:eastAsia="Times New Roman" w:cs="Times New Roman"/>
                <w:szCs w:val="24"/>
                <w:lang w:val="en-US"/>
              </w:rPr>
            </w:pPr>
            <w:r>
              <w:t>Preconceived ideas can lead to bias</w:t>
            </w:r>
          </w:p>
        </w:tc>
        <w:tc>
          <w:tcPr>
            <w:tcW w:w="2637" w:type="pct"/>
          </w:tcPr>
          <w:p w14:paraId="47DB2AE1" w14:textId="77777777" w:rsidR="0042013B" w:rsidRDefault="00B358D2" w:rsidP="00941F40">
            <w:pPr>
              <w:rPr>
                <w:rFonts w:eastAsia="Times New Roman" w:cs="Times New Roman"/>
                <w:szCs w:val="24"/>
                <w:lang w:val="en-US"/>
              </w:rPr>
            </w:pPr>
            <w:r>
              <w:t>Subjectivity can lead to bias</w:t>
            </w:r>
          </w:p>
        </w:tc>
      </w:tr>
      <w:tr w:rsidR="00330FBB" w:rsidRPr="00CF6372" w14:paraId="5519E452" w14:textId="77777777" w:rsidTr="00941F40">
        <w:tc>
          <w:tcPr>
            <w:tcW w:w="2363" w:type="pct"/>
          </w:tcPr>
          <w:p w14:paraId="7444DF73" w14:textId="647199C6" w:rsidR="0042013B" w:rsidRDefault="00B358D2" w:rsidP="00941F40">
            <w:pPr>
              <w:rPr>
                <w:rFonts w:eastAsia="Times New Roman" w:cs="Times New Roman"/>
                <w:szCs w:val="24"/>
                <w:lang w:val="en-US"/>
              </w:rPr>
            </w:pPr>
            <w:r>
              <w:t xml:space="preserve">The research is a planned journey following a designated route and has a specific, predetermined destination </w:t>
            </w:r>
          </w:p>
        </w:tc>
        <w:tc>
          <w:tcPr>
            <w:tcW w:w="2637" w:type="pct"/>
          </w:tcPr>
          <w:p w14:paraId="76B9E883" w14:textId="2BC2E644" w:rsidR="0042013B" w:rsidRDefault="00B358D2" w:rsidP="00941F40">
            <w:pPr>
              <w:rPr>
                <w:rFonts w:eastAsia="Times New Roman" w:cs="Times New Roman"/>
                <w:szCs w:val="24"/>
                <w:lang w:val="en-US"/>
              </w:rPr>
            </w:pPr>
            <w:r>
              <w:t>The research is an evolving journey, there may be a desired destination at the outset, but there may be an unexpected endpoint</w:t>
            </w:r>
          </w:p>
        </w:tc>
      </w:tr>
      <w:tr w:rsidR="00330FBB" w:rsidRPr="00CF6372" w14:paraId="512810E5" w14:textId="77777777" w:rsidTr="00941F40">
        <w:tc>
          <w:tcPr>
            <w:tcW w:w="2363" w:type="pct"/>
          </w:tcPr>
          <w:p w14:paraId="3C2E89FC" w14:textId="6F08861B" w:rsidR="0042013B" w:rsidRDefault="00F55069" w:rsidP="00941F40">
            <w:pPr>
              <w:rPr>
                <w:rFonts w:eastAsia="Times New Roman" w:cs="Times New Roman"/>
                <w:szCs w:val="24"/>
                <w:lang w:val="en-US"/>
              </w:rPr>
            </w:pPr>
            <w:r>
              <w:t>Highly regarded</w:t>
            </w:r>
          </w:p>
        </w:tc>
        <w:tc>
          <w:tcPr>
            <w:tcW w:w="2637" w:type="pct"/>
          </w:tcPr>
          <w:p w14:paraId="6070598B" w14:textId="77777777" w:rsidR="0042013B" w:rsidRDefault="00F55069" w:rsidP="00941F40">
            <w:pPr>
              <w:rPr>
                <w:rFonts w:eastAsia="Times New Roman" w:cs="Times New Roman"/>
                <w:szCs w:val="24"/>
                <w:lang w:val="en-US"/>
              </w:rPr>
            </w:pPr>
            <w:r>
              <w:t>Growing level of regard</w:t>
            </w:r>
          </w:p>
        </w:tc>
      </w:tr>
    </w:tbl>
    <w:p w14:paraId="79D36841" w14:textId="77777777" w:rsidR="00941F40" w:rsidRDefault="00941F40" w:rsidP="00941F40"/>
    <w:p w14:paraId="50CEE7B2" w14:textId="37C0C85D" w:rsidR="008179D5" w:rsidRDefault="007A76FE" w:rsidP="00941F40">
      <w:r>
        <w:t xml:space="preserve">Review Table 1 and provide an argument and </w:t>
      </w:r>
      <w:proofErr w:type="gramStart"/>
      <w:r w:rsidR="001718F9">
        <w:t>counter-</w:t>
      </w:r>
      <w:r>
        <w:t>argument</w:t>
      </w:r>
      <w:proofErr w:type="gramEnd"/>
      <w:r>
        <w:t xml:space="preserve"> for the suggested characteristics of qualitative and quantitative methodologies.</w:t>
      </w:r>
    </w:p>
    <w:p w14:paraId="3043E54F" w14:textId="77777777" w:rsidR="00941F40" w:rsidRDefault="00941F40" w:rsidP="008179D5">
      <w:pPr>
        <w:ind w:firstLine="360"/>
      </w:pPr>
    </w:p>
    <w:p w14:paraId="5E55408A" w14:textId="77777777" w:rsidR="0042013B" w:rsidRPr="00941F40" w:rsidRDefault="00241667" w:rsidP="00941F40">
      <w:pPr>
        <w:pStyle w:val="Heading2"/>
        <w:rPr>
          <w:rFonts w:eastAsiaTheme="majorEastAsia"/>
          <w:b w:val="0"/>
          <w:bCs w:val="0"/>
          <w:szCs w:val="24"/>
        </w:rPr>
      </w:pPr>
      <w:r w:rsidRPr="00941F40">
        <w:rPr>
          <w:rFonts w:eastAsiaTheme="majorEastAsia"/>
          <w:szCs w:val="24"/>
        </w:rPr>
        <w:t>Activity 5.7</w:t>
      </w:r>
    </w:p>
    <w:p w14:paraId="0799E6EC" w14:textId="77777777" w:rsidR="0042013B" w:rsidRDefault="007A76FE" w:rsidP="00941F40">
      <w:r>
        <w:t>The following two papers explore the same topic; patient handover, one is qualitative, the other quantitative. Read and compare both papers:</w:t>
      </w:r>
    </w:p>
    <w:p w14:paraId="4D953939" w14:textId="5F92B672" w:rsidR="0042013B" w:rsidRDefault="007A76FE" w:rsidP="00941F40">
      <w:pPr>
        <w:ind w:left="648" w:hanging="360"/>
      </w:pPr>
      <w:r>
        <w:t xml:space="preserve">Reine, E. </w:t>
      </w:r>
      <w:proofErr w:type="spellStart"/>
      <w:r>
        <w:t>Rustøen</w:t>
      </w:r>
      <w:proofErr w:type="spellEnd"/>
      <w:r>
        <w:t xml:space="preserve">, T. </w:t>
      </w:r>
      <w:proofErr w:type="spellStart"/>
      <w:r>
        <w:t>Ræder</w:t>
      </w:r>
      <w:proofErr w:type="spellEnd"/>
      <w:r>
        <w:t xml:space="preserve">, J. and Aase, K. (2019) </w:t>
      </w:r>
      <w:r>
        <w:rPr>
          <w:kern w:val="36"/>
          <w:lang w:eastAsia="en-GB"/>
        </w:rPr>
        <w:t>Postoperative patient handovers—Variability in perceptions of quality: A qualitative focus group study</w:t>
      </w:r>
      <w:r>
        <w:t xml:space="preserve">. </w:t>
      </w:r>
      <w:r w:rsidRPr="00D52C21">
        <w:rPr>
          <w:i/>
        </w:rPr>
        <w:t>Journal of Clinical Nursing,</w:t>
      </w:r>
      <w:r>
        <w:t xml:space="preserve"> 28(3-4):663</w:t>
      </w:r>
      <w:r w:rsidR="00657206">
        <w:t>–</w:t>
      </w:r>
      <w:r>
        <w:t>676.</w:t>
      </w:r>
    </w:p>
    <w:p w14:paraId="46CCE2E2" w14:textId="0477D851" w:rsidR="008179D5" w:rsidRDefault="007A76FE" w:rsidP="008179D5">
      <w:pPr>
        <w:ind w:left="648" w:hanging="360"/>
      </w:pPr>
      <w:r>
        <w:t xml:space="preserve">Malfait, S. </w:t>
      </w:r>
      <w:proofErr w:type="spellStart"/>
      <w:r>
        <w:rPr>
          <w:lang w:eastAsia="en-GB"/>
        </w:rPr>
        <w:t>Eeckloo</w:t>
      </w:r>
      <w:proofErr w:type="spellEnd"/>
      <w:r>
        <w:rPr>
          <w:lang w:eastAsia="en-GB"/>
        </w:rPr>
        <w:t xml:space="preserve">, K. Van </w:t>
      </w:r>
      <w:proofErr w:type="spellStart"/>
      <w:r>
        <w:rPr>
          <w:lang w:eastAsia="en-GB"/>
        </w:rPr>
        <w:t>Biesen</w:t>
      </w:r>
      <w:proofErr w:type="spellEnd"/>
      <w:r>
        <w:rPr>
          <w:lang w:eastAsia="en-GB"/>
        </w:rPr>
        <w:t xml:space="preserve">, W. </w:t>
      </w:r>
      <w:r>
        <w:t xml:space="preserve">and </w:t>
      </w:r>
      <w:r>
        <w:rPr>
          <w:lang w:eastAsia="en-GB"/>
        </w:rPr>
        <w:t>Van Hecke</w:t>
      </w:r>
      <w:r>
        <w:t xml:space="preserve">, A. (2019) </w:t>
      </w:r>
      <w:r>
        <w:rPr>
          <w:lang w:eastAsia="en-GB"/>
        </w:rPr>
        <w:t>The effectiveness of bedside handovers: A multilevel, longitudinal study of effects on nurses and patients</w:t>
      </w:r>
      <w:r>
        <w:t xml:space="preserve">. </w:t>
      </w:r>
      <w:r w:rsidRPr="00D52C21">
        <w:rPr>
          <w:i/>
        </w:rPr>
        <w:t>Journal of Advanced Nursing,</w:t>
      </w:r>
      <w:r>
        <w:t xml:space="preserve"> 75:1690</w:t>
      </w:r>
      <w:r w:rsidR="00657206">
        <w:t>–</w:t>
      </w:r>
      <w:r>
        <w:t>1701.</w:t>
      </w:r>
    </w:p>
    <w:p w14:paraId="6C364293" w14:textId="715E363C" w:rsidR="0042013B" w:rsidRDefault="007A76FE" w:rsidP="00941F40">
      <w:pPr>
        <w:ind w:firstLine="360"/>
      </w:pPr>
      <w:r>
        <w:t xml:space="preserve">The studies were undertaken in different countries and relate to a different practice </w:t>
      </w:r>
      <w:proofErr w:type="spellStart"/>
      <w:r>
        <w:t>speciality</w:t>
      </w:r>
      <w:proofErr w:type="spellEnd"/>
      <w:r>
        <w:t>. Nevertheless, as you read the papers think about the ways in which the studies were conducted and the research findings. Do you think one study is more useful and meaningful than the other? If you think this is the case, explain your rationale.</w:t>
      </w:r>
    </w:p>
    <w:sectPr w:rsidR="0042013B" w:rsidSect="00D83A68">
      <w:headerReference w:type="default" r:id="rId1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217A" w14:textId="77777777" w:rsidR="008179D5" w:rsidRDefault="008179D5">
      <w:r>
        <w:separator/>
      </w:r>
    </w:p>
  </w:endnote>
  <w:endnote w:type="continuationSeparator" w:id="0">
    <w:p w14:paraId="3A2DEAE6" w14:textId="77777777" w:rsidR="008179D5" w:rsidRDefault="0081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BF01" w14:textId="77777777" w:rsidR="008179D5" w:rsidRDefault="008179D5">
      <w:r>
        <w:separator/>
      </w:r>
    </w:p>
  </w:footnote>
  <w:footnote w:type="continuationSeparator" w:id="0">
    <w:p w14:paraId="3807DA08" w14:textId="77777777" w:rsidR="008179D5" w:rsidRDefault="0081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0069" w14:textId="77777777" w:rsidR="008179D5" w:rsidRPr="00D52C21" w:rsidRDefault="008179D5" w:rsidP="00B81062">
    <w:pPr>
      <w:ind w:left="2736"/>
      <w:rPr>
        <w:i/>
      </w:rPr>
    </w:pPr>
    <w:r w:rsidRPr="00B81062">
      <w:t xml:space="preserve">Harvey &amp; Land, </w:t>
    </w:r>
    <w:r w:rsidRPr="00D52C21">
      <w:rPr>
        <w:i/>
      </w:rPr>
      <w:t>Research Methods for Nurses and Midwives, 2e</w:t>
    </w:r>
  </w:p>
  <w:p w14:paraId="63697670" w14:textId="77777777" w:rsidR="008179D5" w:rsidRPr="006F059D" w:rsidRDefault="008179D5"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619095">
    <w:abstractNumId w:val="5"/>
  </w:num>
  <w:num w:numId="2" w16cid:durableId="936061461">
    <w:abstractNumId w:val="11"/>
  </w:num>
  <w:num w:numId="3" w16cid:durableId="1353728217">
    <w:abstractNumId w:val="8"/>
  </w:num>
  <w:num w:numId="4" w16cid:durableId="515846634">
    <w:abstractNumId w:val="6"/>
  </w:num>
  <w:num w:numId="5" w16cid:durableId="299194719">
    <w:abstractNumId w:val="7"/>
  </w:num>
  <w:num w:numId="6" w16cid:durableId="962541496">
    <w:abstractNumId w:val="4"/>
  </w:num>
  <w:num w:numId="7" w16cid:durableId="539365244">
    <w:abstractNumId w:val="2"/>
  </w:num>
  <w:num w:numId="8" w16cid:durableId="394090810">
    <w:abstractNumId w:val="1"/>
  </w:num>
  <w:num w:numId="9" w16cid:durableId="2028019062">
    <w:abstractNumId w:val="0"/>
  </w:num>
  <w:num w:numId="10" w16cid:durableId="689599484">
    <w:abstractNumId w:val="3"/>
  </w:num>
  <w:num w:numId="11" w16cid:durableId="1992564932">
    <w:abstractNumId w:val="9"/>
  </w:num>
  <w:num w:numId="12" w16cid:durableId="3499896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DE2tzQ0NDEwMjFT0lEKTi0uzszPAykwrAUAqsjI9iwAAAA="/>
  </w:docVars>
  <w:rsids>
    <w:rsidRoot w:val="00A8093F"/>
    <w:rsid w:val="00024CB8"/>
    <w:rsid w:val="00033437"/>
    <w:rsid w:val="000C16F7"/>
    <w:rsid w:val="000F388C"/>
    <w:rsid w:val="00115EA6"/>
    <w:rsid w:val="0015405F"/>
    <w:rsid w:val="001718F9"/>
    <w:rsid w:val="0017404C"/>
    <w:rsid w:val="00185227"/>
    <w:rsid w:val="001A239F"/>
    <w:rsid w:val="001B761C"/>
    <w:rsid w:val="001F7343"/>
    <w:rsid w:val="00227074"/>
    <w:rsid w:val="00241667"/>
    <w:rsid w:val="002436CD"/>
    <w:rsid w:val="00272B2E"/>
    <w:rsid w:val="002C44D0"/>
    <w:rsid w:val="002D0F36"/>
    <w:rsid w:val="002D5319"/>
    <w:rsid w:val="002F62BA"/>
    <w:rsid w:val="003128B7"/>
    <w:rsid w:val="00327683"/>
    <w:rsid w:val="00330FBB"/>
    <w:rsid w:val="00331370"/>
    <w:rsid w:val="00361935"/>
    <w:rsid w:val="00365504"/>
    <w:rsid w:val="00370467"/>
    <w:rsid w:val="00393EAF"/>
    <w:rsid w:val="00396AD3"/>
    <w:rsid w:val="003B6091"/>
    <w:rsid w:val="003C4235"/>
    <w:rsid w:val="003E708D"/>
    <w:rsid w:val="003E7BF7"/>
    <w:rsid w:val="003F0E55"/>
    <w:rsid w:val="0041308D"/>
    <w:rsid w:val="0042013B"/>
    <w:rsid w:val="004762E3"/>
    <w:rsid w:val="004817D8"/>
    <w:rsid w:val="00486A8A"/>
    <w:rsid w:val="004A1135"/>
    <w:rsid w:val="004B17D5"/>
    <w:rsid w:val="004C2018"/>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57206"/>
    <w:rsid w:val="00661127"/>
    <w:rsid w:val="0067627F"/>
    <w:rsid w:val="0069184C"/>
    <w:rsid w:val="006C7443"/>
    <w:rsid w:val="006D1107"/>
    <w:rsid w:val="006E1D22"/>
    <w:rsid w:val="006F059D"/>
    <w:rsid w:val="006F43FC"/>
    <w:rsid w:val="0070463C"/>
    <w:rsid w:val="0072507A"/>
    <w:rsid w:val="007557A1"/>
    <w:rsid w:val="00761723"/>
    <w:rsid w:val="007A76FE"/>
    <w:rsid w:val="007B2823"/>
    <w:rsid w:val="007B669D"/>
    <w:rsid w:val="00804E85"/>
    <w:rsid w:val="00811EC9"/>
    <w:rsid w:val="00812742"/>
    <w:rsid w:val="008179D5"/>
    <w:rsid w:val="00852986"/>
    <w:rsid w:val="00870008"/>
    <w:rsid w:val="00876836"/>
    <w:rsid w:val="008978D0"/>
    <w:rsid w:val="008B339D"/>
    <w:rsid w:val="008C4617"/>
    <w:rsid w:val="008C58C4"/>
    <w:rsid w:val="008D029E"/>
    <w:rsid w:val="008E46E0"/>
    <w:rsid w:val="008F6092"/>
    <w:rsid w:val="00931319"/>
    <w:rsid w:val="00941F40"/>
    <w:rsid w:val="00956287"/>
    <w:rsid w:val="0096128C"/>
    <w:rsid w:val="00963D40"/>
    <w:rsid w:val="00974AA9"/>
    <w:rsid w:val="00991CF3"/>
    <w:rsid w:val="009A40A6"/>
    <w:rsid w:val="009B2FE8"/>
    <w:rsid w:val="009B7BBD"/>
    <w:rsid w:val="00A059F3"/>
    <w:rsid w:val="00A1465F"/>
    <w:rsid w:val="00A324FE"/>
    <w:rsid w:val="00A44E55"/>
    <w:rsid w:val="00A651E7"/>
    <w:rsid w:val="00A77424"/>
    <w:rsid w:val="00A8093F"/>
    <w:rsid w:val="00A84C45"/>
    <w:rsid w:val="00AB42AC"/>
    <w:rsid w:val="00AD5452"/>
    <w:rsid w:val="00AD5E2E"/>
    <w:rsid w:val="00AF0C3C"/>
    <w:rsid w:val="00AF311C"/>
    <w:rsid w:val="00AF4F8B"/>
    <w:rsid w:val="00B164AA"/>
    <w:rsid w:val="00B31FED"/>
    <w:rsid w:val="00B358D2"/>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CF6372"/>
    <w:rsid w:val="00D06DA4"/>
    <w:rsid w:val="00D33536"/>
    <w:rsid w:val="00D37AF2"/>
    <w:rsid w:val="00D46302"/>
    <w:rsid w:val="00D52C21"/>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5506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BDDF716"/>
  <w15:docId w15:val="{363533EE-97E6-4552-861C-9DB3A602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FBB"/>
    <w:pPr>
      <w:spacing w:line="360" w:lineRule="auto"/>
      <w:contextualSpacing/>
    </w:pPr>
    <w:rPr>
      <w:sz w:val="24"/>
      <w:szCs w:val="24"/>
    </w:rPr>
  </w:style>
  <w:style w:type="paragraph" w:styleId="Heading1">
    <w:name w:val="heading 1"/>
    <w:basedOn w:val="Normal"/>
    <w:next w:val="Normal"/>
    <w:link w:val="Heading1Char"/>
    <w:autoRedefine/>
    <w:uiPriority w:val="9"/>
    <w:qFormat/>
    <w:rsid w:val="00330FBB"/>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330FBB"/>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8179D5"/>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330FBB"/>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330FBB"/>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8179D5"/>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59"/>
    <w:rsid w:val="003128B7"/>
    <w:rPr>
      <w:rFonts w:eastAsiaTheme="minorHAnsi"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1F40"/>
    <w:rPr>
      <w:sz w:val="24"/>
      <w:szCs w:val="24"/>
    </w:rPr>
  </w:style>
  <w:style w:type="character" w:styleId="UnresolvedMention">
    <w:name w:val="Unresolved Mention"/>
    <w:basedOn w:val="DefaultParagraphFont"/>
    <w:uiPriority w:val="99"/>
    <w:semiHidden/>
    <w:unhideWhenUsed/>
    <w:rsid w:val="00941F40"/>
    <w:rPr>
      <w:color w:val="605E5C"/>
      <w:shd w:val="clear" w:color="auto" w:fill="E1DFDD"/>
    </w:rPr>
  </w:style>
  <w:style w:type="character" w:styleId="FollowedHyperlink">
    <w:name w:val="FollowedHyperlink"/>
    <w:basedOn w:val="DefaultParagraphFont"/>
    <w:semiHidden/>
    <w:unhideWhenUsed/>
    <w:rsid w:val="00941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idw.2019.1026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2F2333393619894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EBC9-474A-4A0C-8336-2F3ED77A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4922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12</cp:revision>
  <dcterms:created xsi:type="dcterms:W3CDTF">2021-12-20T10:11:00Z</dcterms:created>
  <dcterms:modified xsi:type="dcterms:W3CDTF">2022-05-27T15:10:00Z</dcterms:modified>
</cp:coreProperties>
</file>