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09B4" w14:textId="77777777" w:rsidR="00C30AE7" w:rsidRPr="00707198" w:rsidRDefault="0085244F" w:rsidP="00707198">
      <w:pPr>
        <w:pStyle w:val="Title"/>
        <w:rPr>
          <w:szCs w:val="24"/>
        </w:rPr>
      </w:pPr>
      <w:r w:rsidRPr="0085244F">
        <w:t>Activities</w:t>
      </w:r>
    </w:p>
    <w:p w14:paraId="6BA1E9D7" w14:textId="77777777" w:rsidR="00C30AE7" w:rsidRDefault="0085244F" w:rsidP="00707198">
      <w:pPr>
        <w:pStyle w:val="Heading1"/>
      </w:pPr>
      <w:r>
        <w:t>Chapter 15: Sampling</w:t>
      </w:r>
    </w:p>
    <w:p w14:paraId="3D94D6B7" w14:textId="77777777" w:rsidR="00C30AE7" w:rsidRPr="00707198" w:rsidRDefault="00A73A42" w:rsidP="00707198">
      <w:pPr>
        <w:pStyle w:val="Heading2"/>
        <w:rPr>
          <w:b w:val="0"/>
          <w:bCs w:val="0"/>
        </w:rPr>
      </w:pPr>
      <w:r w:rsidRPr="00707198">
        <w:t>Activity 15.1</w:t>
      </w:r>
    </w:p>
    <w:p w14:paraId="57D91C64" w14:textId="6EB7B9A2" w:rsidR="0085244F" w:rsidRDefault="0085244F" w:rsidP="0085244F">
      <w:r w:rsidRPr="0085244F">
        <w:t xml:space="preserve">Find a small jar or container. Take a piece of plain, A4 paper and cut it into 100 squares of the same size. On each of the squares draw either a red, blue, </w:t>
      </w:r>
      <w:proofErr w:type="gramStart"/>
      <w:r w:rsidRPr="0085244F">
        <w:t>black</w:t>
      </w:r>
      <w:proofErr w:type="gramEnd"/>
      <w:r w:rsidRPr="0085244F">
        <w:t xml:space="preserve"> or yellow cross (so that you have 25 squares with a red cross, 25 with a blue cross</w:t>
      </w:r>
      <w:r w:rsidR="00006B2A">
        <w:t>,</w:t>
      </w:r>
      <w:r w:rsidRPr="0085244F">
        <w:t xml:space="preserve"> etc.). This is your total population. Fold each of the squares so that the coloured cross cannot be seen and place them in the jar. Draw out 20 squares.</w:t>
      </w:r>
    </w:p>
    <w:p w14:paraId="50DEB2BE" w14:textId="17B42586" w:rsidR="0085244F" w:rsidRDefault="0085244F" w:rsidP="0085244F">
      <w:pPr>
        <w:ind w:left="288"/>
      </w:pPr>
      <w:r w:rsidRPr="0085244F">
        <w:t xml:space="preserve">Do you have an equal number of squares with </w:t>
      </w:r>
      <w:r w:rsidR="00006B2A">
        <w:t xml:space="preserve">the </w:t>
      </w:r>
      <w:r w:rsidRPr="0085244F">
        <w:t xml:space="preserve">red, blue, </w:t>
      </w:r>
      <w:proofErr w:type="gramStart"/>
      <w:r w:rsidRPr="0085244F">
        <w:t>black</w:t>
      </w:r>
      <w:proofErr w:type="gramEnd"/>
      <w:r w:rsidRPr="0085244F">
        <w:t xml:space="preserve"> and yellow cross?</w:t>
      </w:r>
    </w:p>
    <w:p w14:paraId="53A304CF" w14:textId="77777777" w:rsidR="00C30AE7" w:rsidRDefault="0085244F" w:rsidP="00707198">
      <w:pPr>
        <w:ind w:left="288"/>
      </w:pPr>
      <w:r w:rsidRPr="0085244F">
        <w:t>If not, how representative of your total population is your sample?</w:t>
      </w:r>
    </w:p>
    <w:p w14:paraId="76E1412C" w14:textId="41958227" w:rsidR="0085244F" w:rsidRDefault="0085244F" w:rsidP="0085244F">
      <w:pPr>
        <w:ind w:left="288"/>
      </w:pPr>
      <w:r w:rsidRPr="0085244F">
        <w:t>What might this mean for the findings of a research study using this sampling strategy?</w:t>
      </w:r>
    </w:p>
    <w:p w14:paraId="1FAEEC62" w14:textId="77777777" w:rsidR="00707198" w:rsidRDefault="00707198" w:rsidP="0085244F">
      <w:pPr>
        <w:ind w:left="288"/>
      </w:pPr>
    </w:p>
    <w:p w14:paraId="2529BB6D" w14:textId="77777777" w:rsidR="00C30AE7" w:rsidRPr="00707198" w:rsidRDefault="00A73A42" w:rsidP="00707198">
      <w:pPr>
        <w:pStyle w:val="Heading2"/>
        <w:rPr>
          <w:b w:val="0"/>
          <w:bCs w:val="0"/>
        </w:rPr>
      </w:pPr>
      <w:r w:rsidRPr="00707198">
        <w:t>Activity 15.2</w:t>
      </w:r>
    </w:p>
    <w:p w14:paraId="464EBC5E" w14:textId="281A28C2" w:rsidR="0085244F" w:rsidRDefault="0085244F" w:rsidP="0085244F">
      <w:r w:rsidRPr="0085244F">
        <w:t>Take the container and 24 of the squares with a red cross and 24 of the squares with a blue cross that were used in online activity 15.1. Write M (for male) against 12 of the blue and 12 of the red crosses. Write F (for female) against</w:t>
      </w:r>
      <w:r>
        <w:t xml:space="preserve"> </w:t>
      </w:r>
      <w:r w:rsidRPr="0085244F">
        <w:t>the other 12 blue and 12 red crosses. You should now have 12 blue crosses with an M, 12 blue crosses with an F, 12 red crosses with an M and 12 red crosses with an F.</w:t>
      </w:r>
    </w:p>
    <w:p w14:paraId="4AADDCEC" w14:textId="52AD044B" w:rsidR="0085244F" w:rsidRDefault="0085244F" w:rsidP="00707198">
      <w:pPr>
        <w:ind w:firstLine="360"/>
      </w:pPr>
      <w:r w:rsidRPr="0085244F">
        <w:t>Place the 24 squares with an M in the container and draw out 10. Then place the 24 squares with an F in the container and draw out 10.</w:t>
      </w:r>
    </w:p>
    <w:p w14:paraId="4895D046" w14:textId="27432576" w:rsidR="0085244F" w:rsidRDefault="0085244F" w:rsidP="00707198">
      <w:pPr>
        <w:ind w:left="432"/>
      </w:pPr>
      <w:r w:rsidRPr="0085244F">
        <w:t>How representative of your total population is your sample?</w:t>
      </w:r>
    </w:p>
    <w:p w14:paraId="3F4AC3ED" w14:textId="7A67D53D" w:rsidR="0085244F" w:rsidRDefault="0085244F" w:rsidP="00707198">
      <w:pPr>
        <w:ind w:left="432"/>
      </w:pPr>
      <w:r w:rsidRPr="0085244F">
        <w:t>What might this mean for the findings of a research study using this sampling strategy?</w:t>
      </w:r>
    </w:p>
    <w:p w14:paraId="0863A4A3" w14:textId="698D1ACE" w:rsidR="0085244F" w:rsidRDefault="0085244F" w:rsidP="00707198">
      <w:pPr>
        <w:ind w:left="432"/>
      </w:pPr>
      <w:r w:rsidRPr="0085244F">
        <w:t>Whilst you will have an equal number of male</w:t>
      </w:r>
      <w:r w:rsidR="00006B2A">
        <w:t>s</w:t>
      </w:r>
      <w:r w:rsidRPr="0085244F">
        <w:t xml:space="preserve"> and females in your sample, you may still have an unequal number of red and blue squares. How could a researcher avoid this problem occurring?</w:t>
      </w:r>
    </w:p>
    <w:p w14:paraId="6D17406F" w14:textId="77777777" w:rsidR="00C30AE7" w:rsidRPr="00707198" w:rsidRDefault="00A73A42" w:rsidP="00707198">
      <w:pPr>
        <w:pStyle w:val="Heading2"/>
        <w:rPr>
          <w:b w:val="0"/>
          <w:bCs w:val="0"/>
        </w:rPr>
      </w:pPr>
      <w:r w:rsidRPr="00707198">
        <w:lastRenderedPageBreak/>
        <w:t>Activity 15.3</w:t>
      </w:r>
    </w:p>
    <w:p w14:paraId="300FD5A4" w14:textId="77777777" w:rsidR="00C30AE7" w:rsidRDefault="0085244F" w:rsidP="00707198">
      <w:r w:rsidRPr="0085244F">
        <w:t xml:space="preserve">For further insight </w:t>
      </w:r>
      <w:r w:rsidR="00006B2A">
        <w:t>in</w:t>
      </w:r>
      <w:r w:rsidRPr="0085244F">
        <w:t>to recruiting ‘difficult to reach’ participants and snowball sampling read:</w:t>
      </w:r>
    </w:p>
    <w:p w14:paraId="5AF7CE8C" w14:textId="543B1796" w:rsidR="00C30AE7" w:rsidRDefault="0085244F" w:rsidP="00707198">
      <w:pPr>
        <w:ind w:left="648" w:hanging="360"/>
      </w:pPr>
      <w:r w:rsidRPr="0085244F">
        <w:t xml:space="preserve">Ellard-Gray, A. Jeffrey, N.K. </w:t>
      </w:r>
      <w:proofErr w:type="spellStart"/>
      <w:r w:rsidRPr="0085244F">
        <w:t>Choubak</w:t>
      </w:r>
      <w:proofErr w:type="spellEnd"/>
      <w:r w:rsidRPr="0085244F">
        <w:t xml:space="preserve">, M. and Crann, S.E. (2015) Finding the Hidden Participant: Solutions for Recruiting Hidden, Hard-to-Reach, and Vulnerable Populations, </w:t>
      </w:r>
      <w:r w:rsidRPr="00981B3A">
        <w:rPr>
          <w:i/>
          <w:iCs/>
        </w:rPr>
        <w:t>International Journal of Qualitative Methods</w:t>
      </w:r>
      <w:r w:rsidRPr="00981B3A">
        <w:rPr>
          <w:i/>
        </w:rPr>
        <w:t>,</w:t>
      </w:r>
      <w:r w:rsidRPr="0085244F">
        <w:t xml:space="preserve"> </w:t>
      </w:r>
      <w:r w:rsidRPr="0085244F">
        <w:rPr>
          <w:shd w:val="clear" w:color="auto" w:fill="FFFFFF"/>
        </w:rPr>
        <w:t>14(5)</w:t>
      </w:r>
      <w:r w:rsidRPr="0085244F">
        <w:t>: 1-10.</w:t>
      </w:r>
      <w:r w:rsidR="00707198">
        <w:t xml:space="preserve"> </w:t>
      </w:r>
      <w:hyperlink r:id="rId8" w:history="1">
        <w:r w:rsidR="00707198" w:rsidRPr="000870C5">
          <w:rPr>
            <w:rStyle w:val="Hyperlink"/>
          </w:rPr>
          <w:t>https://doi.org/10.1177%2F1609406915621420</w:t>
        </w:r>
      </w:hyperlink>
    </w:p>
    <w:p w14:paraId="214765E6" w14:textId="77777777" w:rsidR="00707198" w:rsidRDefault="00707198" w:rsidP="00707198">
      <w:pPr>
        <w:ind w:left="648" w:hanging="360"/>
      </w:pPr>
    </w:p>
    <w:p w14:paraId="2719B373" w14:textId="77777777" w:rsidR="00C30AE7" w:rsidRPr="00707198" w:rsidRDefault="00A73A42" w:rsidP="00707198">
      <w:pPr>
        <w:pStyle w:val="Heading2"/>
        <w:rPr>
          <w:b w:val="0"/>
          <w:bCs w:val="0"/>
        </w:rPr>
      </w:pPr>
      <w:r w:rsidRPr="00707198">
        <w:t>Activity 15.4</w:t>
      </w:r>
    </w:p>
    <w:p w14:paraId="2005FFC5" w14:textId="77777777" w:rsidR="00C30AE7" w:rsidRDefault="0085244F" w:rsidP="00707198">
      <w:r w:rsidRPr="0085244F">
        <w:t xml:space="preserve">For further insight </w:t>
      </w:r>
      <w:r w:rsidR="00006B2A">
        <w:t>in</w:t>
      </w:r>
      <w:r w:rsidRPr="0085244F">
        <w:t>to theoretical sampling read Chapter 7, ‘Theoretical sampling’ in:</w:t>
      </w:r>
    </w:p>
    <w:p w14:paraId="2131FCDD" w14:textId="7A04B2A0" w:rsidR="00C30AE7" w:rsidRDefault="0085244F" w:rsidP="00707198">
      <w:pPr>
        <w:ind w:left="648" w:hanging="360"/>
      </w:pPr>
      <w:r w:rsidRPr="0085244F">
        <w:t xml:space="preserve">Corbin, J. and Strauss, A. (2015) </w:t>
      </w:r>
      <w:r w:rsidRPr="00981B3A">
        <w:rPr>
          <w:i/>
        </w:rPr>
        <w:t>Basics of Qualitative Research.</w:t>
      </w:r>
      <w:r w:rsidRPr="0085244F">
        <w:t xml:space="preserve"> 4</w:t>
      </w:r>
      <w:r w:rsidRPr="0085244F">
        <w:rPr>
          <w:vertAlign w:val="superscript"/>
        </w:rPr>
        <w:t>th</w:t>
      </w:r>
      <w:r w:rsidRPr="0085244F">
        <w:t xml:space="preserve"> </w:t>
      </w:r>
      <w:proofErr w:type="spellStart"/>
      <w:r w:rsidRPr="0085244F">
        <w:t>edn</w:t>
      </w:r>
      <w:proofErr w:type="spellEnd"/>
      <w:r w:rsidRPr="0085244F">
        <w:t>. Los Angeles: Sage Publications.</w:t>
      </w:r>
    </w:p>
    <w:p w14:paraId="21459BDD" w14:textId="77777777" w:rsidR="00707198" w:rsidRDefault="00707198" w:rsidP="00707198">
      <w:pPr>
        <w:ind w:left="648" w:hanging="360"/>
      </w:pPr>
    </w:p>
    <w:p w14:paraId="75B158A0" w14:textId="77777777" w:rsidR="00C30AE7" w:rsidRPr="00707198" w:rsidRDefault="00A73A42" w:rsidP="00707198">
      <w:pPr>
        <w:pStyle w:val="Heading2"/>
        <w:rPr>
          <w:b w:val="0"/>
          <w:bCs w:val="0"/>
        </w:rPr>
      </w:pPr>
      <w:r w:rsidRPr="00707198">
        <w:t>Activity 15.5</w:t>
      </w:r>
    </w:p>
    <w:p w14:paraId="6F8D3848" w14:textId="6DF28E96" w:rsidR="0085244F" w:rsidRDefault="0085244F" w:rsidP="0085244F">
      <w:r w:rsidRPr="0085244F">
        <w:t>We have covered the most commonly used sampling strategies in this book. However, other sampling strategies may be used, therefore look up and make notes on the following sampling strategies which you may see used in health care research:</w:t>
      </w:r>
    </w:p>
    <w:p w14:paraId="671FEAFE" w14:textId="4726D69F" w:rsidR="0085244F" w:rsidRDefault="00A73A42" w:rsidP="00707198">
      <w:pPr>
        <w:pStyle w:val="ListParagraph"/>
        <w:numPr>
          <w:ilvl w:val="0"/>
          <w:numId w:val="21"/>
        </w:numPr>
      </w:pPr>
      <w:r w:rsidRPr="00A73A42">
        <w:t>Multi-stage sampling</w:t>
      </w:r>
    </w:p>
    <w:p w14:paraId="4E86FDA5" w14:textId="380463A9" w:rsidR="00C30AE7" w:rsidRPr="00707198" w:rsidRDefault="00A73A42" w:rsidP="00707198">
      <w:pPr>
        <w:pStyle w:val="ListParagraph"/>
        <w:numPr>
          <w:ilvl w:val="0"/>
          <w:numId w:val="21"/>
        </w:numPr>
      </w:pPr>
      <w:r w:rsidRPr="00A73A42">
        <w:t>Dimensional sampling</w:t>
      </w:r>
    </w:p>
    <w:p w14:paraId="2BBD87F2" w14:textId="1B701254" w:rsidR="00C30AE7" w:rsidRPr="00707198" w:rsidRDefault="00A73A42" w:rsidP="00707198">
      <w:pPr>
        <w:pStyle w:val="ListParagraph"/>
        <w:numPr>
          <w:ilvl w:val="0"/>
          <w:numId w:val="21"/>
        </w:numPr>
      </w:pPr>
      <w:r w:rsidRPr="00A73A42">
        <w:t>Proportionate stratified sampling</w:t>
      </w:r>
    </w:p>
    <w:p w14:paraId="21152310" w14:textId="357BE261" w:rsidR="00C30AE7" w:rsidRPr="00707198" w:rsidRDefault="00A73A42" w:rsidP="00707198">
      <w:pPr>
        <w:pStyle w:val="ListParagraph"/>
        <w:numPr>
          <w:ilvl w:val="0"/>
          <w:numId w:val="21"/>
        </w:numPr>
      </w:pPr>
      <w:r w:rsidRPr="00A73A42">
        <w:t>Disproportionate stratified sampling</w:t>
      </w:r>
    </w:p>
    <w:p w14:paraId="42EECF9D" w14:textId="06792AF4" w:rsidR="00C30AE7" w:rsidRDefault="00A73A42" w:rsidP="00707198">
      <w:pPr>
        <w:pStyle w:val="ListParagraph"/>
        <w:numPr>
          <w:ilvl w:val="0"/>
          <w:numId w:val="21"/>
        </w:numPr>
      </w:pPr>
      <w:r w:rsidRPr="00A73A42">
        <w:t>Volunteer sampling</w:t>
      </w:r>
    </w:p>
    <w:p w14:paraId="717198EC" w14:textId="77777777" w:rsidR="00707198" w:rsidRPr="00707198" w:rsidRDefault="00707198" w:rsidP="00707198">
      <w:pPr>
        <w:pStyle w:val="ListParagraph"/>
        <w:numPr>
          <w:ilvl w:val="0"/>
          <w:numId w:val="21"/>
        </w:numPr>
      </w:pPr>
    </w:p>
    <w:p w14:paraId="3EE04B39" w14:textId="77777777" w:rsidR="00C30AE7" w:rsidRPr="00707198" w:rsidRDefault="00A73A42" w:rsidP="00707198">
      <w:pPr>
        <w:pStyle w:val="Heading2"/>
        <w:rPr>
          <w:b w:val="0"/>
          <w:bCs w:val="0"/>
          <w:szCs w:val="24"/>
        </w:rPr>
      </w:pPr>
      <w:r w:rsidRPr="00707198">
        <w:rPr>
          <w:szCs w:val="24"/>
        </w:rPr>
        <w:t>Activity 15.6</w:t>
      </w:r>
    </w:p>
    <w:p w14:paraId="3DB28ECB" w14:textId="3ACCF691" w:rsidR="00C30AE7" w:rsidRDefault="0085244F" w:rsidP="00707198">
      <w:r w:rsidRPr="0085244F">
        <w:t xml:space="preserve">Read the following two papers, one is </w:t>
      </w:r>
      <w:proofErr w:type="gramStart"/>
      <w:r w:rsidRPr="0085244F">
        <w:t>quantitative</w:t>
      </w:r>
      <w:proofErr w:type="gramEnd"/>
      <w:r w:rsidRPr="0085244F">
        <w:t xml:space="preserve"> and the other is a qualitative study.</w:t>
      </w:r>
    </w:p>
    <w:p w14:paraId="1918BE16" w14:textId="641BF9C8" w:rsidR="00C30AE7" w:rsidRPr="00707198" w:rsidRDefault="00A73A42" w:rsidP="00707198">
      <w:pPr>
        <w:ind w:left="648" w:hanging="360"/>
      </w:pPr>
      <w:hyperlink r:id="rId9" w:history="1">
        <w:proofErr w:type="spellStart"/>
        <w:r w:rsidRPr="00707198">
          <w:t>Bloxsome</w:t>
        </w:r>
        <w:proofErr w:type="spellEnd"/>
        <w:r w:rsidRPr="00707198">
          <w:t xml:space="preserve">, D. </w:t>
        </w:r>
      </w:hyperlink>
      <w:hyperlink r:id="rId10" w:history="1">
        <w:r w:rsidRPr="00707198">
          <w:t xml:space="preserve">Bayes, S. and </w:t>
        </w:r>
      </w:hyperlink>
      <w:hyperlink r:id="rId11" w:history="1">
        <w:r w:rsidRPr="00707198">
          <w:t xml:space="preserve">Ireson, D. </w:t>
        </w:r>
      </w:hyperlink>
      <w:r w:rsidRPr="00707198">
        <w:t xml:space="preserve">(2020) </w:t>
      </w:r>
      <w:r w:rsidRPr="00707198">
        <w:rPr>
          <w:color w:val="1C1D1E"/>
          <w:kern w:val="36"/>
        </w:rPr>
        <w:t xml:space="preserve">“I love being a midwife; it's who I am”: A </w:t>
      </w:r>
      <w:proofErr w:type="spellStart"/>
      <w:r w:rsidRPr="00707198">
        <w:rPr>
          <w:color w:val="1C1D1E"/>
          <w:kern w:val="36"/>
        </w:rPr>
        <w:t>Glaserian</w:t>
      </w:r>
      <w:proofErr w:type="spellEnd"/>
      <w:r w:rsidRPr="00707198">
        <w:rPr>
          <w:color w:val="1C1D1E"/>
          <w:kern w:val="36"/>
        </w:rPr>
        <w:t xml:space="preserve"> Grounded Theory Study of why midwives stay in midwifery, Journal of Clinical Nursing</w:t>
      </w:r>
      <w:r w:rsidRPr="00707198">
        <w:rPr>
          <w:kern w:val="36"/>
        </w:rPr>
        <w:t xml:space="preserve">, </w:t>
      </w:r>
      <w:hyperlink r:id="rId12" w:history="1">
        <w:r w:rsidRPr="00707198">
          <w:rPr>
            <w:rStyle w:val="val"/>
          </w:rPr>
          <w:t>29(1-2</w:t>
        </w:r>
      </w:hyperlink>
      <w:r w:rsidRPr="00707198">
        <w:t>): 208</w:t>
      </w:r>
      <w:r w:rsidR="00312414">
        <w:t>–</w:t>
      </w:r>
      <w:r w:rsidRPr="00A73A42">
        <w:t>220.</w:t>
      </w:r>
    </w:p>
    <w:p w14:paraId="0A59C889" w14:textId="5EFB89E8" w:rsidR="0085244F" w:rsidRDefault="00A73A42" w:rsidP="0085244F">
      <w:pPr>
        <w:ind w:left="648" w:hanging="360"/>
        <w:rPr>
          <w:lang w:eastAsia="en-GB"/>
        </w:rPr>
      </w:pPr>
      <w:hyperlink r:id="rId13" w:history="1">
        <w:r w:rsidR="0085244F" w:rsidRPr="0085244F">
          <w:rPr>
            <w:lang w:eastAsia="en-GB"/>
          </w:rPr>
          <w:t>McLachlan</w:t>
        </w:r>
      </w:hyperlink>
      <w:r w:rsidR="0085244F" w:rsidRPr="0085244F">
        <w:rPr>
          <w:lang w:eastAsia="en-GB"/>
        </w:rPr>
        <w:t xml:space="preserve">, H.L. </w:t>
      </w:r>
      <w:hyperlink r:id="rId14" w:history="1">
        <w:r w:rsidR="0085244F" w:rsidRPr="0085244F">
          <w:rPr>
            <w:lang w:eastAsia="en-GB"/>
          </w:rPr>
          <w:t>Forster</w:t>
        </w:r>
      </w:hyperlink>
      <w:r w:rsidR="0085244F" w:rsidRPr="0085244F">
        <w:rPr>
          <w:lang w:eastAsia="en-GB"/>
        </w:rPr>
        <w:t xml:space="preserve">, D.A. </w:t>
      </w:r>
      <w:hyperlink r:id="rId15" w:history="1">
        <w:r w:rsidR="0085244F" w:rsidRPr="0085244F">
          <w:rPr>
            <w:lang w:eastAsia="en-GB"/>
          </w:rPr>
          <w:t>Davey</w:t>
        </w:r>
      </w:hyperlink>
      <w:r w:rsidR="0085244F" w:rsidRPr="0085244F">
        <w:rPr>
          <w:lang w:eastAsia="en-GB"/>
        </w:rPr>
        <w:t xml:space="preserve">, M-A. </w:t>
      </w:r>
      <w:hyperlink r:id="rId16" w:history="1">
        <w:r w:rsidR="0085244F" w:rsidRPr="0085244F">
          <w:rPr>
            <w:lang w:eastAsia="en-GB"/>
          </w:rPr>
          <w:t>Farrell</w:t>
        </w:r>
      </w:hyperlink>
      <w:r w:rsidR="0085244F" w:rsidRPr="0085244F">
        <w:rPr>
          <w:lang w:eastAsia="en-GB"/>
        </w:rPr>
        <w:t xml:space="preserve">, T. </w:t>
      </w:r>
      <w:hyperlink r:id="rId17" w:history="1">
        <w:r w:rsidR="0085244F" w:rsidRPr="0085244F">
          <w:rPr>
            <w:lang w:eastAsia="en-GB"/>
          </w:rPr>
          <w:t>Flood</w:t>
        </w:r>
      </w:hyperlink>
      <w:r w:rsidR="0085244F" w:rsidRPr="0085244F">
        <w:rPr>
          <w:lang w:eastAsia="en-GB"/>
        </w:rPr>
        <w:t xml:space="preserve">, M. </w:t>
      </w:r>
      <w:hyperlink r:id="rId18" w:history="1">
        <w:proofErr w:type="spellStart"/>
        <w:r w:rsidR="0085244F" w:rsidRPr="0085244F">
          <w:rPr>
            <w:lang w:eastAsia="en-GB"/>
          </w:rPr>
          <w:t>Shafiei</w:t>
        </w:r>
        <w:proofErr w:type="spellEnd"/>
      </w:hyperlink>
      <w:r w:rsidR="0085244F" w:rsidRPr="0085244F">
        <w:rPr>
          <w:lang w:eastAsia="en-GB"/>
        </w:rPr>
        <w:t>, T. and</w:t>
      </w:r>
    </w:p>
    <w:p w14:paraId="316ED622" w14:textId="2E047E1C" w:rsidR="00C30AE7" w:rsidRDefault="00A73A42" w:rsidP="00707198">
      <w:pPr>
        <w:ind w:left="648" w:hanging="360"/>
      </w:pPr>
      <w:hyperlink r:id="rId19" w:history="1">
        <w:proofErr w:type="spellStart"/>
        <w:r w:rsidRPr="00707198">
          <w:t>Waldenström</w:t>
        </w:r>
        <w:proofErr w:type="spellEnd"/>
      </w:hyperlink>
      <w:r w:rsidRPr="00707198">
        <w:t xml:space="preserve">, U. (2016) </w:t>
      </w:r>
      <w:r w:rsidRPr="00707198">
        <w:rPr>
          <w:kern w:val="36"/>
        </w:rPr>
        <w:t>The effect of primary midwife</w:t>
      </w:r>
      <w:r w:rsidRPr="00707198">
        <w:rPr>
          <w:rFonts w:ascii="Cambria Math" w:hAnsi="Cambria Math" w:cs="Cambria Math"/>
          <w:kern w:val="36"/>
        </w:rPr>
        <w:t>‐</w:t>
      </w:r>
      <w:r w:rsidRPr="00A73A42">
        <w:rPr>
          <w:kern w:val="36"/>
        </w:rPr>
        <w:t xml:space="preserve">led care on </w:t>
      </w:r>
      <w:r w:rsidRPr="00707198">
        <w:rPr>
          <w:kern w:val="36"/>
        </w:rPr>
        <w:t>women</w:t>
      </w:r>
      <w:r w:rsidR="00006B2A">
        <w:rPr>
          <w:kern w:val="36"/>
        </w:rPr>
        <w:t>’</w:t>
      </w:r>
      <w:r w:rsidRPr="00A73A42">
        <w:rPr>
          <w:kern w:val="36"/>
        </w:rPr>
        <w:t xml:space="preserve">s </w:t>
      </w:r>
      <w:r w:rsidRPr="00707198">
        <w:rPr>
          <w:kern w:val="36"/>
        </w:rPr>
        <w:t xml:space="preserve">experience of childbirth: results from the COSMOS randomised controlled trial, British Journal of Obstetrics and </w:t>
      </w:r>
      <w:proofErr w:type="spellStart"/>
      <w:r w:rsidRPr="00707198">
        <w:rPr>
          <w:kern w:val="36"/>
        </w:rPr>
        <w:t>Gynaecology</w:t>
      </w:r>
      <w:proofErr w:type="spellEnd"/>
      <w:r w:rsidRPr="00707198">
        <w:rPr>
          <w:kern w:val="36"/>
        </w:rPr>
        <w:t xml:space="preserve">, </w:t>
      </w:r>
      <w:hyperlink r:id="rId20" w:history="1">
        <w:r w:rsidRPr="00707198">
          <w:rPr>
            <w:rStyle w:val="val"/>
          </w:rPr>
          <w:t>123(3</w:t>
        </w:r>
      </w:hyperlink>
      <w:r w:rsidRPr="00707198">
        <w:t>): 465</w:t>
      </w:r>
      <w:r w:rsidR="00312414">
        <w:t>–</w:t>
      </w:r>
      <w:r w:rsidRPr="00A73A42">
        <w:t>474.</w:t>
      </w:r>
    </w:p>
    <w:p w14:paraId="7D66D30E" w14:textId="77777777" w:rsidR="00707198" w:rsidRPr="00707198" w:rsidRDefault="00707198" w:rsidP="00707198">
      <w:pPr>
        <w:ind w:left="648" w:hanging="360"/>
      </w:pPr>
    </w:p>
    <w:p w14:paraId="68891978" w14:textId="77777777" w:rsidR="00C30AE7" w:rsidRDefault="0085244F" w:rsidP="00707198">
      <w:r w:rsidRPr="0085244F">
        <w:t>As you read the papers consider the following:</w:t>
      </w:r>
    </w:p>
    <w:p w14:paraId="6EA31058" w14:textId="7909C61E" w:rsidR="00C30AE7" w:rsidRPr="00707198" w:rsidRDefault="00A73A42" w:rsidP="00707198">
      <w:pPr>
        <w:pStyle w:val="ListParagraph"/>
        <w:numPr>
          <w:ilvl w:val="0"/>
          <w:numId w:val="20"/>
        </w:numPr>
      </w:pPr>
      <w:r w:rsidRPr="00A73A42">
        <w:lastRenderedPageBreak/>
        <w:t>How are the sample sizes explained and justified?</w:t>
      </w:r>
      <w:r w:rsidR="0085244F">
        <w:t xml:space="preserve"> </w:t>
      </w:r>
      <w:r w:rsidRPr="00A73A42">
        <w:t>Do you think an appropriate rationale is given?</w:t>
      </w:r>
    </w:p>
    <w:p w14:paraId="00B6F490" w14:textId="070253C7" w:rsidR="00C30AE7" w:rsidRPr="00707198" w:rsidRDefault="00A73A42" w:rsidP="00707198">
      <w:pPr>
        <w:pStyle w:val="ListParagraph"/>
        <w:numPr>
          <w:ilvl w:val="0"/>
          <w:numId w:val="20"/>
        </w:numPr>
      </w:pPr>
      <w:r w:rsidRPr="00A73A42">
        <w:t>What were the participant inclusion and</w:t>
      </w:r>
      <w:r w:rsidRPr="00707198">
        <w:t xml:space="preserve"> exclusion criteria?</w:t>
      </w:r>
    </w:p>
    <w:p w14:paraId="05D0DDB5" w14:textId="70B9791D" w:rsidR="00C30AE7" w:rsidRPr="00707198" w:rsidRDefault="00A73A42" w:rsidP="00707198">
      <w:pPr>
        <w:pStyle w:val="ListParagraph"/>
        <w:numPr>
          <w:ilvl w:val="0"/>
          <w:numId w:val="20"/>
        </w:numPr>
      </w:pPr>
      <w:r w:rsidRPr="00A73A42">
        <w:t>Did the sampling strategies enable the researchers to achieve the study’s aims</w:t>
      </w:r>
      <w:r w:rsidR="00006B2A">
        <w:t>/</w:t>
      </w:r>
      <w:r w:rsidRPr="00A73A42">
        <w:t>objectives?</w:t>
      </w:r>
    </w:p>
    <w:p w14:paraId="38D60E5F" w14:textId="6CBBCCF3" w:rsidR="00C30AE7" w:rsidRDefault="00A73A42" w:rsidP="00707198">
      <w:pPr>
        <w:pStyle w:val="ListParagraph"/>
        <w:numPr>
          <w:ilvl w:val="0"/>
          <w:numId w:val="20"/>
        </w:numPr>
      </w:pPr>
      <w:r w:rsidRPr="00A73A42">
        <w:t>Did the sampling strategies enable the researchers to achieve the fundamental principles of the research method used?</w:t>
      </w:r>
    </w:p>
    <w:p w14:paraId="7BB272B2" w14:textId="77777777" w:rsidR="00707198" w:rsidRPr="00707198" w:rsidRDefault="00707198" w:rsidP="00707198">
      <w:pPr>
        <w:pStyle w:val="ListParagraph"/>
        <w:ind w:left="720"/>
      </w:pPr>
    </w:p>
    <w:p w14:paraId="03A4C7CF" w14:textId="77777777" w:rsidR="00C30AE7" w:rsidRPr="00707198" w:rsidRDefault="00A73A42" w:rsidP="00707198">
      <w:pPr>
        <w:pStyle w:val="Heading2"/>
        <w:rPr>
          <w:b w:val="0"/>
          <w:bCs w:val="0"/>
        </w:rPr>
      </w:pPr>
      <w:r w:rsidRPr="00707198">
        <w:t>Activity 15.7</w:t>
      </w:r>
    </w:p>
    <w:p w14:paraId="639200AD" w14:textId="77777777" w:rsidR="00C30AE7" w:rsidRDefault="0085244F" w:rsidP="00707198">
      <w:r w:rsidRPr="0085244F">
        <w:t>What are the pros and cons of the following ways in which contact could be made with potential participants?</w:t>
      </w:r>
    </w:p>
    <w:p w14:paraId="34429D15" w14:textId="54056EF0" w:rsidR="00C30AE7" w:rsidRPr="00707198" w:rsidRDefault="00A73A42" w:rsidP="00707198">
      <w:pPr>
        <w:pStyle w:val="ListParagraph"/>
        <w:numPr>
          <w:ilvl w:val="0"/>
          <w:numId w:val="19"/>
        </w:numPr>
      </w:pPr>
      <w:r w:rsidRPr="00A73A42">
        <w:t>Face-to-face discussion</w:t>
      </w:r>
    </w:p>
    <w:p w14:paraId="7A90EDF1" w14:textId="6F7DC85F" w:rsidR="00C30AE7" w:rsidRPr="00707198" w:rsidRDefault="00A73A42" w:rsidP="00707198">
      <w:pPr>
        <w:pStyle w:val="ListParagraph"/>
        <w:numPr>
          <w:ilvl w:val="0"/>
          <w:numId w:val="19"/>
        </w:numPr>
      </w:pPr>
      <w:r w:rsidRPr="00A73A42">
        <w:t>Letter</w:t>
      </w:r>
    </w:p>
    <w:p w14:paraId="2505230D" w14:textId="477CE6E3" w:rsidR="00C30AE7" w:rsidRPr="00707198" w:rsidRDefault="00A73A42" w:rsidP="00707198">
      <w:pPr>
        <w:pStyle w:val="ListParagraph"/>
        <w:numPr>
          <w:ilvl w:val="0"/>
          <w:numId w:val="19"/>
        </w:numPr>
      </w:pPr>
      <w:r w:rsidRPr="00A73A42">
        <w:t>Telephone call</w:t>
      </w:r>
    </w:p>
    <w:p w14:paraId="511E5DCC" w14:textId="1DB26E67" w:rsidR="00C30AE7" w:rsidRPr="00707198" w:rsidRDefault="00A73A42" w:rsidP="00707198">
      <w:pPr>
        <w:pStyle w:val="ListParagraph"/>
        <w:numPr>
          <w:ilvl w:val="0"/>
          <w:numId w:val="19"/>
        </w:numPr>
      </w:pPr>
      <w:r w:rsidRPr="00A73A42">
        <w:t>Email</w:t>
      </w:r>
    </w:p>
    <w:p w14:paraId="15013E2B" w14:textId="61423A63" w:rsidR="00C30AE7" w:rsidRPr="00707198" w:rsidRDefault="00A73A42" w:rsidP="00707198">
      <w:pPr>
        <w:pStyle w:val="ListParagraph"/>
        <w:numPr>
          <w:ilvl w:val="0"/>
          <w:numId w:val="19"/>
        </w:numPr>
      </w:pPr>
      <w:r w:rsidRPr="00A73A42">
        <w:t>Word-of-mouth (snowball sampling)</w:t>
      </w:r>
    </w:p>
    <w:p w14:paraId="74006737" w14:textId="62E9AAB5" w:rsidR="0085244F" w:rsidRDefault="00A73A42" w:rsidP="00707198">
      <w:pPr>
        <w:pStyle w:val="ListParagraph"/>
        <w:numPr>
          <w:ilvl w:val="0"/>
          <w:numId w:val="19"/>
        </w:numPr>
      </w:pPr>
      <w:r w:rsidRPr="00A73A42">
        <w:t xml:space="preserve">Posters displayed in venues where potential </w:t>
      </w:r>
      <w:r w:rsidRPr="00707198">
        <w:t>participants will see them</w:t>
      </w:r>
    </w:p>
    <w:p w14:paraId="4E84A549" w14:textId="3946D299" w:rsidR="00C30AE7" w:rsidRPr="00707198" w:rsidRDefault="00A73A42" w:rsidP="00707198">
      <w:pPr>
        <w:pStyle w:val="ListParagraph"/>
        <w:numPr>
          <w:ilvl w:val="0"/>
          <w:numId w:val="19"/>
        </w:numPr>
      </w:pPr>
      <w:r w:rsidRPr="00A73A42">
        <w:t>Notices on websites or in journals</w:t>
      </w:r>
    </w:p>
    <w:p w14:paraId="51C5C88C" w14:textId="07E71093" w:rsidR="00C30AE7" w:rsidRDefault="00A73A42" w:rsidP="00707198">
      <w:pPr>
        <w:pStyle w:val="ListParagraph"/>
        <w:numPr>
          <w:ilvl w:val="0"/>
          <w:numId w:val="19"/>
        </w:numPr>
      </w:pPr>
      <w:r w:rsidRPr="00A73A42">
        <w:t>Calls for participants posted on social media</w:t>
      </w:r>
    </w:p>
    <w:p w14:paraId="46739F42" w14:textId="77777777" w:rsidR="00707198" w:rsidRPr="00707198" w:rsidRDefault="00707198" w:rsidP="00707198">
      <w:pPr>
        <w:pStyle w:val="ListParagraph"/>
        <w:ind w:left="1080"/>
      </w:pPr>
    </w:p>
    <w:p w14:paraId="6AB4E815" w14:textId="77777777" w:rsidR="00C30AE7" w:rsidRPr="00707198" w:rsidRDefault="00A73A42" w:rsidP="00707198">
      <w:pPr>
        <w:pStyle w:val="Heading2"/>
        <w:rPr>
          <w:b w:val="0"/>
          <w:bCs w:val="0"/>
        </w:rPr>
      </w:pPr>
      <w:r w:rsidRPr="00707198">
        <w:t>Activity 15.8</w:t>
      </w:r>
    </w:p>
    <w:p w14:paraId="393859C0" w14:textId="77777777" w:rsidR="00C30AE7" w:rsidRDefault="0085244F" w:rsidP="00707198">
      <w:r w:rsidRPr="0085244F">
        <w:t>These two papers explore different issues concerning participant recruitment:</w:t>
      </w:r>
    </w:p>
    <w:p w14:paraId="156D2F6B" w14:textId="418D7D00" w:rsidR="00C30AE7" w:rsidRPr="00707198" w:rsidRDefault="00A73A42" w:rsidP="00707198">
      <w:pPr>
        <w:ind w:left="648" w:hanging="360"/>
      </w:pPr>
      <w:r w:rsidRPr="00707198">
        <w:t xml:space="preserve">Daly, D. </w:t>
      </w:r>
      <w:r w:rsidRPr="00707198">
        <w:rPr>
          <w:rFonts w:eastAsia="OFGIE N+ MTSY"/>
        </w:rPr>
        <w:t>Hannon, S. and Brady, V. (2019)</w:t>
      </w:r>
      <w:r w:rsidR="0085244F">
        <w:rPr>
          <w:rFonts w:eastAsia="OFGIE N+ MTSY"/>
        </w:rPr>
        <w:t xml:space="preserve"> </w:t>
      </w:r>
      <w:r w:rsidRPr="00A73A42">
        <w:t xml:space="preserve">Motivators and challenges to research recruitment – A qualitative study with midwives, </w:t>
      </w:r>
      <w:r w:rsidRPr="00707198">
        <w:rPr>
          <w:i/>
          <w:iCs/>
        </w:rPr>
        <w:t>Midwifery</w:t>
      </w:r>
      <w:r w:rsidRPr="00707198">
        <w:t>, 74: 14</w:t>
      </w:r>
      <w:r w:rsidR="00006B2A">
        <w:t>–</w:t>
      </w:r>
      <w:r w:rsidRPr="00A73A42">
        <w:t>20.</w:t>
      </w:r>
    </w:p>
    <w:p w14:paraId="0D82A8A8" w14:textId="790E9306" w:rsidR="00C30AE7" w:rsidRDefault="0085244F" w:rsidP="00707198">
      <w:pPr>
        <w:ind w:left="648" w:hanging="360"/>
      </w:pPr>
      <w:r w:rsidRPr="0085244F">
        <w:rPr>
          <w:color w:val="1D1D1B"/>
        </w:rPr>
        <w:t xml:space="preserve">Marks, A. Wilkes, L. Blythe, S. and Griffiths, R. (2017) A novice researcher’s reflection on recruiting participants for qualitative research, </w:t>
      </w:r>
      <w:r w:rsidRPr="00981B3A">
        <w:rPr>
          <w:i/>
          <w:iCs/>
          <w:color w:val="1D1D1B"/>
        </w:rPr>
        <w:t>Nurse Researcher</w:t>
      </w:r>
      <w:r w:rsidRPr="0085244F">
        <w:rPr>
          <w:color w:val="1D1D1B"/>
        </w:rPr>
        <w:t>, 25(2): 34</w:t>
      </w:r>
      <w:r w:rsidR="00006B2A">
        <w:rPr>
          <w:color w:val="1D1D1B"/>
        </w:rPr>
        <w:t>–</w:t>
      </w:r>
      <w:r w:rsidRPr="0085244F">
        <w:rPr>
          <w:color w:val="1D1D1B"/>
        </w:rPr>
        <w:t>38.</w:t>
      </w:r>
    </w:p>
    <w:sectPr w:rsidR="00C30AE7" w:rsidSect="00D83A68">
      <w:headerReference w:type="default" r:id="rId21"/>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D118" w14:textId="77777777" w:rsidR="0085244F" w:rsidRDefault="0085244F">
      <w:r>
        <w:separator/>
      </w:r>
    </w:p>
  </w:endnote>
  <w:endnote w:type="continuationSeparator" w:id="0">
    <w:p w14:paraId="024D2303" w14:textId="77777777" w:rsidR="0085244F" w:rsidRDefault="0085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FGIE N+ MTSY">
    <w:altName w:val="Malgun Gothic"/>
    <w:panose1 w:val="00000000000000000000"/>
    <w:charset w:val="81"/>
    <w:family w:val="swiss"/>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2742" w14:textId="77777777" w:rsidR="0085244F" w:rsidRDefault="0085244F">
      <w:r>
        <w:separator/>
      </w:r>
    </w:p>
  </w:footnote>
  <w:footnote w:type="continuationSeparator" w:id="0">
    <w:p w14:paraId="1468DCAC" w14:textId="77777777" w:rsidR="0085244F" w:rsidRDefault="0085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E0CA" w14:textId="77777777" w:rsidR="0085244F" w:rsidRPr="00981B3A" w:rsidRDefault="0085244F" w:rsidP="00B81062">
    <w:pPr>
      <w:ind w:left="2736"/>
      <w:rPr>
        <w:i/>
      </w:rPr>
    </w:pPr>
    <w:r w:rsidRPr="00B81062">
      <w:t xml:space="preserve">Harvey &amp; Land, </w:t>
    </w:r>
    <w:r w:rsidRPr="00981B3A">
      <w:rPr>
        <w:i/>
      </w:rPr>
      <w:t>Research Methods for Nurses and Midwives, 2e</w:t>
    </w:r>
  </w:p>
  <w:p w14:paraId="09656C58" w14:textId="77777777" w:rsidR="0085244F" w:rsidRPr="006F059D" w:rsidRDefault="0085244F" w:rsidP="00B81062">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5497277"/>
    <w:multiLevelType w:val="hybridMultilevel"/>
    <w:tmpl w:val="2B70D6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B164E"/>
    <w:multiLevelType w:val="hybridMultilevel"/>
    <w:tmpl w:val="E59ADD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985443"/>
    <w:multiLevelType w:val="hybridMultilevel"/>
    <w:tmpl w:val="C62AB79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00943"/>
    <w:multiLevelType w:val="hybridMultilevel"/>
    <w:tmpl w:val="E75EAE0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697993"/>
    <w:multiLevelType w:val="hybridMultilevel"/>
    <w:tmpl w:val="9C64535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654E4"/>
    <w:multiLevelType w:val="hybridMultilevel"/>
    <w:tmpl w:val="9A16AA8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5561D"/>
    <w:multiLevelType w:val="hybridMultilevel"/>
    <w:tmpl w:val="AA18F1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08C37FC"/>
    <w:multiLevelType w:val="hybridMultilevel"/>
    <w:tmpl w:val="F190DD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F4FAD"/>
    <w:multiLevelType w:val="hybridMultilevel"/>
    <w:tmpl w:val="A7F4B12A"/>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4303486">
    <w:abstractNumId w:val="7"/>
  </w:num>
  <w:num w:numId="2" w16cid:durableId="796141741">
    <w:abstractNumId w:val="20"/>
  </w:num>
  <w:num w:numId="3" w16cid:durableId="515651927">
    <w:abstractNumId w:val="14"/>
  </w:num>
  <w:num w:numId="4" w16cid:durableId="2002808691">
    <w:abstractNumId w:val="11"/>
  </w:num>
  <w:num w:numId="5" w16cid:durableId="2106917777">
    <w:abstractNumId w:val="13"/>
  </w:num>
  <w:num w:numId="6" w16cid:durableId="368796799">
    <w:abstractNumId w:val="6"/>
  </w:num>
  <w:num w:numId="7" w16cid:durableId="221259354">
    <w:abstractNumId w:val="2"/>
  </w:num>
  <w:num w:numId="8" w16cid:durableId="2134321518">
    <w:abstractNumId w:val="1"/>
  </w:num>
  <w:num w:numId="9" w16cid:durableId="1631276260">
    <w:abstractNumId w:val="0"/>
  </w:num>
  <w:num w:numId="10" w16cid:durableId="1702440304">
    <w:abstractNumId w:val="3"/>
  </w:num>
  <w:num w:numId="11" w16cid:durableId="1876233613">
    <w:abstractNumId w:val="17"/>
  </w:num>
  <w:num w:numId="12" w16cid:durableId="988637224">
    <w:abstractNumId w:val="19"/>
  </w:num>
  <w:num w:numId="13" w16cid:durableId="1691755643">
    <w:abstractNumId w:val="5"/>
  </w:num>
  <w:num w:numId="14" w16cid:durableId="1092823850">
    <w:abstractNumId w:val="4"/>
  </w:num>
  <w:num w:numId="15" w16cid:durableId="165369687">
    <w:abstractNumId w:val="16"/>
  </w:num>
  <w:num w:numId="16" w16cid:durableId="924533876">
    <w:abstractNumId w:val="10"/>
  </w:num>
  <w:num w:numId="17" w16cid:durableId="1306273147">
    <w:abstractNumId w:val="8"/>
  </w:num>
  <w:num w:numId="18" w16cid:durableId="1590039315">
    <w:abstractNumId w:val="18"/>
  </w:num>
  <w:num w:numId="19" w16cid:durableId="151483074">
    <w:abstractNumId w:val="12"/>
  </w:num>
  <w:num w:numId="20" w16cid:durableId="1875847219">
    <w:abstractNumId w:val="15"/>
  </w:num>
  <w:num w:numId="21" w16cid:durableId="1843005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MjazANKGpqYGhko6SsGpxcWZ+XkgBYa1AMVq7JQsAAAA"/>
  </w:docVars>
  <w:rsids>
    <w:rsidRoot w:val="00D71677"/>
    <w:rsid w:val="00006B2A"/>
    <w:rsid w:val="00024CB8"/>
    <w:rsid w:val="00033437"/>
    <w:rsid w:val="000F388C"/>
    <w:rsid w:val="0015405F"/>
    <w:rsid w:val="0017404C"/>
    <w:rsid w:val="00185227"/>
    <w:rsid w:val="001A239F"/>
    <w:rsid w:val="001B761C"/>
    <w:rsid w:val="001F7343"/>
    <w:rsid w:val="00227074"/>
    <w:rsid w:val="00272B2E"/>
    <w:rsid w:val="002C44D0"/>
    <w:rsid w:val="002D0F36"/>
    <w:rsid w:val="002D5319"/>
    <w:rsid w:val="002F62BA"/>
    <w:rsid w:val="00312414"/>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07198"/>
    <w:rsid w:val="0072507A"/>
    <w:rsid w:val="007557A1"/>
    <w:rsid w:val="00761723"/>
    <w:rsid w:val="007B2823"/>
    <w:rsid w:val="007B669D"/>
    <w:rsid w:val="00804E85"/>
    <w:rsid w:val="00811EC9"/>
    <w:rsid w:val="00812742"/>
    <w:rsid w:val="0085244F"/>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81B3A"/>
    <w:rsid w:val="00991CF3"/>
    <w:rsid w:val="009A40A6"/>
    <w:rsid w:val="009B2FE8"/>
    <w:rsid w:val="009B7BBD"/>
    <w:rsid w:val="00A059F3"/>
    <w:rsid w:val="00A1465F"/>
    <w:rsid w:val="00A324FE"/>
    <w:rsid w:val="00A44E55"/>
    <w:rsid w:val="00A73A42"/>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30AE7"/>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71677"/>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7AD1A3E"/>
  <w15:docId w15:val="{FA7F1D15-FBD7-499F-BAE0-8B029EE3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44F"/>
    <w:pPr>
      <w:spacing w:line="360" w:lineRule="auto"/>
      <w:contextualSpacing/>
    </w:pPr>
    <w:rPr>
      <w:sz w:val="24"/>
      <w:szCs w:val="24"/>
    </w:rPr>
  </w:style>
  <w:style w:type="paragraph" w:styleId="Heading1">
    <w:name w:val="heading 1"/>
    <w:basedOn w:val="Normal"/>
    <w:next w:val="Normal"/>
    <w:link w:val="Heading1Char"/>
    <w:autoRedefine/>
    <w:qFormat/>
    <w:rsid w:val="0085244F"/>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85244F"/>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85244F"/>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85244F"/>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volume-issue">
    <w:name w:val="volume-issue"/>
    <w:basedOn w:val="Normal"/>
    <w:rsid w:val="0085244F"/>
    <w:pPr>
      <w:spacing w:before="100" w:beforeAutospacing="1" w:after="100" w:afterAutospacing="1"/>
      <w:contextualSpacing w:val="0"/>
    </w:pPr>
    <w:rPr>
      <w:lang w:val="en-GB" w:eastAsia="en-GB"/>
    </w:rPr>
  </w:style>
  <w:style w:type="character" w:customStyle="1" w:styleId="val">
    <w:name w:val="val"/>
    <w:basedOn w:val="DefaultParagraphFont"/>
    <w:rsid w:val="0085244F"/>
  </w:style>
  <w:style w:type="paragraph" w:styleId="Revision">
    <w:name w:val="Revision"/>
    <w:hidden/>
    <w:uiPriority w:val="99"/>
    <w:semiHidden/>
    <w:rsid w:val="00707198"/>
    <w:rPr>
      <w:sz w:val="24"/>
      <w:szCs w:val="24"/>
    </w:rPr>
  </w:style>
  <w:style w:type="character" w:styleId="UnresolvedMention">
    <w:name w:val="Unresolved Mention"/>
    <w:basedOn w:val="DefaultParagraphFont"/>
    <w:uiPriority w:val="99"/>
    <w:semiHidden/>
    <w:unhideWhenUsed/>
    <w:rsid w:val="0070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1609406915621420" TargetMode="External"/><Relationship Id="rId13" Type="http://schemas.openxmlformats.org/officeDocument/2006/relationships/hyperlink" Target="https://obgyn-onlinelibrary-wiley-com.ezproxy.bcu.ac.uk/action/doSearch?ContribAuthorStored=McLachlan%2C+HL" TargetMode="External"/><Relationship Id="rId18" Type="http://schemas.openxmlformats.org/officeDocument/2006/relationships/hyperlink" Target="https://obgyn-onlinelibrary-wiley-com.ezproxy.bcu.ac.uk/action/doSearch?ContribAuthorStored=Shafiei%2C+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nlinelibrary.wiley.com/toc/13652702/2020/29/1-2" TargetMode="External"/><Relationship Id="rId17" Type="http://schemas.openxmlformats.org/officeDocument/2006/relationships/hyperlink" Target="https://obgyn-onlinelibrary-wiley-com.ezproxy.bcu.ac.uk/action/doSearch?ContribAuthorStored=Flood%2C+M" TargetMode="External"/><Relationship Id="rId2" Type="http://schemas.openxmlformats.org/officeDocument/2006/relationships/numbering" Target="numbering.xml"/><Relationship Id="rId16" Type="http://schemas.openxmlformats.org/officeDocument/2006/relationships/hyperlink" Target="https://obgyn-onlinelibrary-wiley-com.ezproxy.bcu.ac.uk/action/doSearch?ContribAuthorStored=Farrell%2C+T" TargetMode="External"/><Relationship Id="rId20" Type="http://schemas.openxmlformats.org/officeDocument/2006/relationships/hyperlink" Target="https://obgyn-onlinelibrary-wiley-com.ezproxy.bcu.ac.uk/toc/14710528/2016/12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action/doSearch?ContribAuthorStored=Ireson%2C+Deborah" TargetMode="External"/><Relationship Id="rId5" Type="http://schemas.openxmlformats.org/officeDocument/2006/relationships/webSettings" Target="webSettings.xml"/><Relationship Id="rId15" Type="http://schemas.openxmlformats.org/officeDocument/2006/relationships/hyperlink" Target="https://obgyn-onlinelibrary-wiley-com.ezproxy.bcu.ac.uk/action/doSearch?ContribAuthorStored=Davey%2C+M-A" TargetMode="External"/><Relationship Id="rId23" Type="http://schemas.openxmlformats.org/officeDocument/2006/relationships/theme" Target="theme/theme1.xml"/><Relationship Id="rId10" Type="http://schemas.openxmlformats.org/officeDocument/2006/relationships/hyperlink" Target="https://onlinelibrary.wiley.com/action/doSearch?ContribAuthorStored=Bayes%2C+Sara" TargetMode="External"/><Relationship Id="rId19" Type="http://schemas.openxmlformats.org/officeDocument/2006/relationships/hyperlink" Target="https://obgyn-onlinelibrary-wiley-com.ezproxy.bcu.ac.uk/action/doSearch?ContribAuthorStored=Waldenstr%C3%B6m%2C+U" TargetMode="External"/><Relationship Id="rId4" Type="http://schemas.openxmlformats.org/officeDocument/2006/relationships/settings" Target="settings.xml"/><Relationship Id="rId9" Type="http://schemas.openxmlformats.org/officeDocument/2006/relationships/hyperlink" Target="https://onlinelibrary.wiley.com/action/doSearch?ContribAuthorStored=Bloxsome%2C+Dianne" TargetMode="External"/><Relationship Id="rId14" Type="http://schemas.openxmlformats.org/officeDocument/2006/relationships/hyperlink" Target="https://obgyn-onlinelibrary-wiley-com.ezproxy.bcu.ac.uk/action/doSearch?ContribAuthorStored=Forster%2C+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4D6C-FBF0-4A10-960C-DA7B3E9D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5711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6</cp:revision>
  <dcterms:created xsi:type="dcterms:W3CDTF">2021-12-21T04:18:00Z</dcterms:created>
  <dcterms:modified xsi:type="dcterms:W3CDTF">2022-05-27T15:53:00Z</dcterms:modified>
</cp:coreProperties>
</file>