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70FBA" w14:textId="77777777" w:rsidR="00147919" w:rsidRDefault="00291E7A" w:rsidP="00DA326D">
      <w:pPr>
        <w:pStyle w:val="Title"/>
      </w:pPr>
      <w:r w:rsidRPr="00291E7A">
        <w:t>Activities</w:t>
      </w:r>
    </w:p>
    <w:p w14:paraId="3A95478C" w14:textId="77777777" w:rsidR="00147919" w:rsidRPr="009D1972" w:rsidRDefault="00291E7A" w:rsidP="00DA326D">
      <w:pPr>
        <w:pStyle w:val="Heading1"/>
      </w:pPr>
      <w:r w:rsidRPr="009D1972">
        <w:t>Chapter 17: Qualitative methods of data collection</w:t>
      </w:r>
    </w:p>
    <w:p w14:paraId="0BE68D58" w14:textId="77777777" w:rsidR="00147919" w:rsidRPr="00DA326D" w:rsidRDefault="002F4E7A" w:rsidP="00DA326D">
      <w:pPr>
        <w:pStyle w:val="Heading2"/>
      </w:pPr>
      <w:r w:rsidRPr="00DA326D">
        <w:t>Activity 17.1</w:t>
      </w:r>
    </w:p>
    <w:p w14:paraId="26C92763" w14:textId="3CF70620" w:rsidR="00147919" w:rsidRDefault="00291E7A" w:rsidP="00DA326D">
      <w:r w:rsidRPr="00291E7A">
        <w:t xml:space="preserve">The following paper provides insight </w:t>
      </w:r>
      <w:r w:rsidR="00B2033B">
        <w:t>into</w:t>
      </w:r>
      <w:r w:rsidR="00B2033B" w:rsidRPr="00291E7A">
        <w:t xml:space="preserve"> </w:t>
      </w:r>
      <w:r w:rsidRPr="00291E7A">
        <w:t xml:space="preserve">the experiences of participants who </w:t>
      </w:r>
      <w:proofErr w:type="gramStart"/>
      <w:r w:rsidRPr="00291E7A">
        <w:t>took  part</w:t>
      </w:r>
      <w:proofErr w:type="gramEnd"/>
      <w:r w:rsidRPr="00291E7A">
        <w:t xml:space="preserve"> in telephone interviews;</w:t>
      </w:r>
    </w:p>
    <w:p w14:paraId="1AF2706C" w14:textId="26E48595" w:rsidR="00147919" w:rsidRDefault="00291E7A" w:rsidP="00DA326D">
      <w:pPr>
        <w:ind w:left="648" w:hanging="360"/>
      </w:pPr>
      <w:r w:rsidRPr="00291E7A">
        <w:t xml:space="preserve">Ward, K. Gott, M. and Hoare, K. (2015) Participants’ views of telephone interviews within a grounded theory study, </w:t>
      </w:r>
      <w:r w:rsidRPr="009D1972">
        <w:rPr>
          <w:i/>
          <w:iCs/>
        </w:rPr>
        <w:t>Journal of Advanced Nursing</w:t>
      </w:r>
      <w:r w:rsidRPr="00291E7A">
        <w:t>, 71(12): 2775</w:t>
      </w:r>
      <w:r w:rsidR="00B2033B">
        <w:t>–</w:t>
      </w:r>
      <w:r w:rsidRPr="00291E7A">
        <w:t>2785.</w:t>
      </w:r>
    </w:p>
    <w:p w14:paraId="27E56D49" w14:textId="77777777" w:rsidR="00DA326D" w:rsidRDefault="00DA326D" w:rsidP="00DA326D">
      <w:pPr>
        <w:ind w:left="648" w:hanging="360"/>
      </w:pPr>
    </w:p>
    <w:p w14:paraId="1F82263A" w14:textId="77777777" w:rsidR="00147919" w:rsidRPr="00DA326D" w:rsidRDefault="002F4E7A" w:rsidP="00DA326D">
      <w:pPr>
        <w:pStyle w:val="Heading2"/>
      </w:pPr>
      <w:r w:rsidRPr="00DA326D">
        <w:t>Activity 17.2</w:t>
      </w:r>
    </w:p>
    <w:p w14:paraId="5F01395D" w14:textId="47B5A724" w:rsidR="00147919" w:rsidRDefault="00291E7A" w:rsidP="00DA326D">
      <w:r w:rsidRPr="00291E7A">
        <w:t>Identify the advantages and potential disadvantages of interviews as a method of data collection. You may find it helpful to read the remainder of the chapter first and then consider interviews in the context of the advantages and disadvantages of the other methods of data collection discussed in this chapter.</w:t>
      </w:r>
    </w:p>
    <w:p w14:paraId="1ED9DC48" w14:textId="77777777" w:rsidR="00DA326D" w:rsidRDefault="00DA326D" w:rsidP="00DA326D"/>
    <w:p w14:paraId="06351ACA" w14:textId="77777777" w:rsidR="00147919" w:rsidRPr="00DA326D" w:rsidRDefault="002F4E7A" w:rsidP="00DA326D">
      <w:pPr>
        <w:pStyle w:val="Heading2"/>
      </w:pPr>
      <w:r w:rsidRPr="00DA326D">
        <w:t>Activity 17.3</w:t>
      </w:r>
    </w:p>
    <w:p w14:paraId="3E5175A6" w14:textId="383F36DB" w:rsidR="00147919" w:rsidRDefault="00291E7A" w:rsidP="00DA326D">
      <w:r w:rsidRPr="00291E7A">
        <w:t xml:space="preserve">What do you think? Do you think that informed consent should be obtained from all those likely who are likely to be involved or just those who are the focus of the observation? </w:t>
      </w:r>
    </w:p>
    <w:p w14:paraId="6D656FDC" w14:textId="77777777" w:rsidR="00147919" w:rsidRDefault="00291E7A" w:rsidP="00DA326D">
      <w:r w:rsidRPr="00291E7A">
        <w:t>To help you decide, consider the following example:</w:t>
      </w:r>
    </w:p>
    <w:p w14:paraId="66C43571" w14:textId="6C2853E3" w:rsidR="00147919" w:rsidRDefault="00291E7A" w:rsidP="00DA326D">
      <w:pPr>
        <w:ind w:left="792" w:hanging="360"/>
      </w:pPr>
      <w:r w:rsidRPr="00291E7A">
        <w:t xml:space="preserve">Observations are to be carried out in a hospital canteen to observe junior nurses on their lunch break. The purpose of the research is to understand their behaviours and actions during a period of ‘down time’. Should informed consent be obtained just from the nurses who are the focus of the research? Or all those likely to be present during the observation such as canteen staff, </w:t>
      </w:r>
      <w:proofErr w:type="gramStart"/>
      <w:r w:rsidRPr="00291E7A">
        <w:t>relatives</w:t>
      </w:r>
      <w:proofErr w:type="gramEnd"/>
      <w:r w:rsidRPr="00291E7A">
        <w:t xml:space="preserve"> and other health care professionals?</w:t>
      </w:r>
    </w:p>
    <w:p w14:paraId="78914DF8" w14:textId="77777777" w:rsidR="00147919" w:rsidRDefault="00291E7A" w:rsidP="00DA326D">
      <w:pPr>
        <w:ind w:left="792" w:hanging="360"/>
      </w:pPr>
      <w:r w:rsidRPr="00291E7A">
        <w:t xml:space="preserve">What are </w:t>
      </w:r>
      <w:r w:rsidR="00B2033B">
        <w:t xml:space="preserve">the </w:t>
      </w:r>
      <w:r w:rsidRPr="00291E7A">
        <w:t>possible implications of the different decisions that could be taken?</w:t>
      </w:r>
    </w:p>
    <w:p w14:paraId="576926A1" w14:textId="77777777" w:rsidR="00147919" w:rsidRPr="00DA326D" w:rsidRDefault="002F4E7A" w:rsidP="00DA326D">
      <w:pPr>
        <w:pStyle w:val="Heading2"/>
      </w:pPr>
      <w:r w:rsidRPr="00DA326D">
        <w:lastRenderedPageBreak/>
        <w:t>Activity 17.4</w:t>
      </w:r>
    </w:p>
    <w:p w14:paraId="77FBE3D3" w14:textId="4C042EAB" w:rsidR="00147919" w:rsidRDefault="00291E7A" w:rsidP="00DA326D">
      <w:r w:rsidRPr="00291E7A">
        <w:t>Identify the advantages and potential disadvantages of observations as a method of data collection. You may find it helpful to read the remainder of the chapter first and then consider observations in the context of the advantages and disadvantages of the other methods of data collection discussed in this chapter.</w:t>
      </w:r>
    </w:p>
    <w:p w14:paraId="577F3F8B" w14:textId="77777777" w:rsidR="00DA326D" w:rsidRDefault="00DA326D" w:rsidP="00DA326D"/>
    <w:p w14:paraId="2A3F9F87" w14:textId="77777777" w:rsidR="00147919" w:rsidRPr="00DA326D" w:rsidRDefault="002F4E7A" w:rsidP="00DA326D">
      <w:pPr>
        <w:pStyle w:val="Heading2"/>
      </w:pPr>
      <w:r w:rsidRPr="00DA326D">
        <w:t>Activity 17.5</w:t>
      </w:r>
    </w:p>
    <w:p w14:paraId="65D7D196" w14:textId="65AB18AE" w:rsidR="00147919" w:rsidRDefault="00291E7A" w:rsidP="00DA326D">
      <w:r w:rsidRPr="00291E7A">
        <w:t xml:space="preserve">Identify the advantages and potential disadvantages of focus groups as a method of data collection. You may find it helpful to read the remainder of the chapter first and then consider focus groups </w:t>
      </w:r>
      <w:proofErr w:type="gramStart"/>
      <w:r w:rsidRPr="00291E7A">
        <w:t>in</w:t>
      </w:r>
      <w:proofErr w:type="gramEnd"/>
      <w:r w:rsidRPr="00291E7A">
        <w:t xml:space="preserve"> the context of the advantages and disadvantages of the other methods of data collection discussed in this chapter.</w:t>
      </w:r>
    </w:p>
    <w:p w14:paraId="6FDEA8F2" w14:textId="77777777" w:rsidR="00DA326D" w:rsidRDefault="00DA326D" w:rsidP="00DA326D"/>
    <w:p w14:paraId="0DE0D137" w14:textId="77777777" w:rsidR="00147919" w:rsidRPr="00DA326D" w:rsidRDefault="002F4E7A" w:rsidP="00DA326D">
      <w:pPr>
        <w:pStyle w:val="Heading2"/>
      </w:pPr>
      <w:r w:rsidRPr="00DA326D">
        <w:t>Activity 17.6</w:t>
      </w:r>
    </w:p>
    <w:p w14:paraId="04C6D518" w14:textId="3A51D183" w:rsidR="00147919" w:rsidRDefault="00291E7A" w:rsidP="00DA326D">
      <w:r w:rsidRPr="00291E7A">
        <w:t>Identify the advantages and potential disadvantages of diaries as a method of data collection.  You may find it helpful to read the remainder of the chapter first and then consider diaries in the context of the advantages and disadvantages of the other methods of data collection discussed in this chapter.</w:t>
      </w:r>
    </w:p>
    <w:p w14:paraId="6FDF541F" w14:textId="77777777" w:rsidR="00DA326D" w:rsidRDefault="00DA326D" w:rsidP="00DA326D"/>
    <w:p w14:paraId="0606D28B" w14:textId="77777777" w:rsidR="00147919" w:rsidRPr="00DA326D" w:rsidRDefault="002F4E7A" w:rsidP="00DA326D">
      <w:pPr>
        <w:pStyle w:val="Heading2"/>
      </w:pPr>
      <w:r w:rsidRPr="00DA326D">
        <w:t>Activity 17.7</w:t>
      </w:r>
    </w:p>
    <w:p w14:paraId="4EC7D618" w14:textId="77777777" w:rsidR="00147919" w:rsidRDefault="00291E7A" w:rsidP="00DA326D">
      <w:r w:rsidRPr="00291E7A">
        <w:t>The following papers describe the use of vignettes:</w:t>
      </w:r>
    </w:p>
    <w:p w14:paraId="6DA4FE5D" w14:textId="4FFD0015" w:rsidR="00147919" w:rsidRDefault="00291E7A" w:rsidP="00DA326D">
      <w:pPr>
        <w:ind w:left="648" w:hanging="360"/>
      </w:pPr>
      <w:r w:rsidRPr="00291E7A">
        <w:t xml:space="preserve">Coons, K.D. Watson, S.L. Yantzi, N.M. Lightfoot, N.E. and Larocque, S. (2017) Health Care Students’ Attitudes About Alcohol Consumption During Pregnancy: Responses to Narrative Vignettes, </w:t>
      </w:r>
      <w:r w:rsidRPr="009D1972">
        <w:rPr>
          <w:i/>
          <w:iCs/>
        </w:rPr>
        <w:t>Global Qualitative Nursing Research</w:t>
      </w:r>
      <w:r w:rsidRPr="00291E7A">
        <w:t>, 4: 1</w:t>
      </w:r>
      <w:r w:rsidR="00B2033B">
        <w:t>–</w:t>
      </w:r>
      <w:r w:rsidRPr="00291E7A">
        <w:t>18</w:t>
      </w:r>
      <w:r w:rsidR="00DA326D">
        <w:t xml:space="preserve">. </w:t>
      </w:r>
      <w:r w:rsidR="00DA326D" w:rsidRPr="00DA326D">
        <w:t>https://doi.org/10.1177%2F2333393617740463</w:t>
      </w:r>
      <w:r w:rsidRPr="00291E7A">
        <w:t xml:space="preserve"> </w:t>
      </w:r>
    </w:p>
    <w:p w14:paraId="57202F5A" w14:textId="28720C62" w:rsidR="00147919" w:rsidRDefault="00291E7A" w:rsidP="00DA326D">
      <w:pPr>
        <w:autoSpaceDE w:val="0"/>
        <w:autoSpaceDN w:val="0"/>
        <w:adjustRightInd w:val="0"/>
        <w:ind w:left="648" w:hanging="360"/>
      </w:pPr>
      <w:r w:rsidRPr="00291E7A">
        <w:rPr>
          <w:iCs/>
        </w:rPr>
        <w:t>Jackson, M. Harrison, P. Swinburn, B. and Lawrence, M. (2015)</w:t>
      </w:r>
      <w:r w:rsidRPr="00291E7A">
        <w:t xml:space="preserve"> Using a Qualitative Vignette to Explore a Complex Public Health Issue, </w:t>
      </w:r>
      <w:r w:rsidRPr="009D1972">
        <w:rPr>
          <w:i/>
          <w:iCs/>
        </w:rPr>
        <w:t>Qualitative Health Research</w:t>
      </w:r>
      <w:r w:rsidRPr="00291E7A">
        <w:t>, 25(10): 1395</w:t>
      </w:r>
      <w:r w:rsidR="00B2033B">
        <w:t>–</w:t>
      </w:r>
      <w:r w:rsidRPr="00291E7A">
        <w:t xml:space="preserve">1409. </w:t>
      </w:r>
      <w:hyperlink r:id="rId8" w:history="1">
        <w:r w:rsidR="00DA326D" w:rsidRPr="001A4293">
          <w:rPr>
            <w:rStyle w:val="Hyperlink"/>
          </w:rPr>
          <w:t>https://doi.org/10.1177%2F1049732315570119</w:t>
        </w:r>
      </w:hyperlink>
    </w:p>
    <w:p w14:paraId="14694F1A" w14:textId="77777777" w:rsidR="00DA326D" w:rsidRDefault="00DA326D" w:rsidP="00DA326D">
      <w:pPr>
        <w:autoSpaceDE w:val="0"/>
        <w:autoSpaceDN w:val="0"/>
        <w:adjustRightInd w:val="0"/>
        <w:ind w:left="648" w:hanging="360"/>
      </w:pPr>
    </w:p>
    <w:p w14:paraId="69911EB2" w14:textId="77777777" w:rsidR="00147919" w:rsidRPr="00DA326D" w:rsidRDefault="002F4E7A" w:rsidP="00DA326D">
      <w:pPr>
        <w:pStyle w:val="Heading2"/>
      </w:pPr>
      <w:r w:rsidRPr="00DA326D">
        <w:t>Activity 17.8</w:t>
      </w:r>
    </w:p>
    <w:p w14:paraId="7F537079" w14:textId="54974B92" w:rsidR="00147919" w:rsidRDefault="00291E7A" w:rsidP="00DA326D">
      <w:r w:rsidRPr="00291E7A">
        <w:t xml:space="preserve">The following paper explores some of the challenges of using </w:t>
      </w:r>
      <w:proofErr w:type="gramStart"/>
      <w:r w:rsidRPr="00291E7A">
        <w:t>story-telling</w:t>
      </w:r>
      <w:proofErr w:type="gramEnd"/>
      <w:r w:rsidRPr="00291E7A">
        <w:t xml:space="preserve"> in research:</w:t>
      </w:r>
    </w:p>
    <w:p w14:paraId="3342E771" w14:textId="5DE466FE" w:rsidR="00147919" w:rsidRDefault="002F4E7A" w:rsidP="00DA326D">
      <w:pPr>
        <w:ind w:left="648" w:hanging="360"/>
      </w:pPr>
      <w:r w:rsidRPr="002F4E7A">
        <w:t xml:space="preserve">Douglas, L. Usher, K. Woods, C. and Jackson, K. (2019) Potential challenges of using narrative inquiry with at-risk young people, </w:t>
      </w:r>
      <w:r w:rsidRPr="00DA326D">
        <w:rPr>
          <w:i/>
          <w:iCs/>
        </w:rPr>
        <w:t>Nurse Researcher,</w:t>
      </w:r>
      <w:r w:rsidRPr="00DA326D">
        <w:t xml:space="preserve"> </w:t>
      </w:r>
      <w:r w:rsidR="00B2033B">
        <w:t>DOI</w:t>
      </w:r>
      <w:r w:rsidRPr="002F4E7A">
        <w:t>: 10.7748/</w:t>
      </w:r>
      <w:proofErr w:type="gramStart"/>
      <w:r w:rsidRPr="002F4E7A">
        <w:t>nr.2019.e</w:t>
      </w:r>
      <w:proofErr w:type="gramEnd"/>
      <w:r w:rsidRPr="002F4E7A">
        <w:t>1619</w:t>
      </w:r>
    </w:p>
    <w:p w14:paraId="1E4FFD49" w14:textId="77777777" w:rsidR="00DA326D" w:rsidRPr="00DA326D" w:rsidRDefault="00DA326D" w:rsidP="00DA326D">
      <w:pPr>
        <w:ind w:left="648" w:hanging="360"/>
      </w:pPr>
    </w:p>
    <w:p w14:paraId="5A4ACB76" w14:textId="77777777" w:rsidR="00147919" w:rsidRPr="00DA326D" w:rsidRDefault="002F4E7A" w:rsidP="00DA326D">
      <w:pPr>
        <w:pStyle w:val="Heading2"/>
      </w:pPr>
      <w:r w:rsidRPr="00DA326D">
        <w:lastRenderedPageBreak/>
        <w:t>Activity 17.9</w:t>
      </w:r>
    </w:p>
    <w:p w14:paraId="026C4EAE" w14:textId="77777777" w:rsidR="00147919" w:rsidRDefault="00291E7A" w:rsidP="00DA326D">
      <w:r w:rsidRPr="00291E7A">
        <w:t>The following papers discuss the use of art-based methods of data collection:</w:t>
      </w:r>
    </w:p>
    <w:p w14:paraId="4668F2D2" w14:textId="741B25EB" w:rsidR="00147919" w:rsidRPr="00DA326D" w:rsidRDefault="002F4E7A" w:rsidP="00DA326D">
      <w:pPr>
        <w:ind w:left="648" w:hanging="360"/>
      </w:pPr>
      <w:r w:rsidRPr="002F4E7A">
        <w:rPr>
          <w:rFonts w:eastAsiaTheme="minorHAnsi"/>
        </w:rPr>
        <w:t xml:space="preserve">Pope, N. </w:t>
      </w:r>
      <w:proofErr w:type="spellStart"/>
      <w:r w:rsidRPr="002F4E7A">
        <w:rPr>
          <w:rFonts w:eastAsiaTheme="minorHAnsi"/>
        </w:rPr>
        <w:t>Tallon</w:t>
      </w:r>
      <w:proofErr w:type="spellEnd"/>
      <w:r w:rsidRPr="002F4E7A">
        <w:rPr>
          <w:rFonts w:eastAsiaTheme="minorHAnsi"/>
        </w:rPr>
        <w:t>, M. Leslie, G. and Wilson, S. (2018) Using ‘draw, write and tell’ to</w:t>
      </w:r>
      <w:r w:rsidRPr="00DA326D">
        <w:rPr>
          <w:rFonts w:eastAsiaTheme="minorHAnsi"/>
        </w:rPr>
        <w:t xml:space="preserve"> understand children’s health-related experiences, </w:t>
      </w:r>
      <w:r w:rsidRPr="00DA326D">
        <w:rPr>
          <w:rFonts w:eastAsiaTheme="minorHAnsi"/>
          <w:i/>
          <w:iCs/>
        </w:rPr>
        <w:t>Nurse Researcher,</w:t>
      </w:r>
      <w:r w:rsidRPr="00DA326D">
        <w:rPr>
          <w:rFonts w:eastAsiaTheme="minorHAnsi"/>
        </w:rPr>
        <w:t xml:space="preserve"> </w:t>
      </w:r>
      <w:r w:rsidR="00B2033B">
        <w:rPr>
          <w:rFonts w:eastAsiaTheme="minorHAnsi"/>
        </w:rPr>
        <w:t>DOI</w:t>
      </w:r>
      <w:r w:rsidRPr="002F4E7A">
        <w:rPr>
          <w:rFonts w:eastAsiaTheme="minorHAnsi"/>
        </w:rPr>
        <w:t>: 10.7748/nr.2018e1594</w:t>
      </w:r>
    </w:p>
    <w:p w14:paraId="60956214" w14:textId="3495477D" w:rsidR="00147919" w:rsidRDefault="00291E7A" w:rsidP="00DA326D">
      <w:pPr>
        <w:ind w:left="648" w:hanging="360"/>
      </w:pPr>
      <w:r w:rsidRPr="00291E7A">
        <w:t xml:space="preserve">Fournier, B. Bridge, A. Mill, J. Alibhai, A. Pritchard Kennedy, A. and Konde-Lule, J. (2014) Turning the Camera Back: A Photovoice project with Ugandan Children who are Orphaned and Living with HIV, </w:t>
      </w:r>
      <w:r w:rsidRPr="009D1972">
        <w:rPr>
          <w:i/>
        </w:rPr>
        <w:t xml:space="preserve">Sage Open, </w:t>
      </w:r>
      <w:r w:rsidRPr="00291E7A">
        <w:t>April-June: 1</w:t>
      </w:r>
      <w:r w:rsidR="00DA326D">
        <w:t>–</w:t>
      </w:r>
      <w:r w:rsidRPr="00291E7A">
        <w:t xml:space="preserve">10. </w:t>
      </w:r>
      <w:hyperlink r:id="rId9" w:history="1">
        <w:r w:rsidR="00DA326D" w:rsidRPr="001A4293">
          <w:rPr>
            <w:rStyle w:val="Hyperlink"/>
          </w:rPr>
          <w:t>https://doi.org/10.1177/2158244014530997</w:t>
        </w:r>
      </w:hyperlink>
    </w:p>
    <w:p w14:paraId="56D6CEFC" w14:textId="77777777" w:rsidR="00DA326D" w:rsidRDefault="00DA326D" w:rsidP="00DA326D">
      <w:pPr>
        <w:ind w:left="648" w:hanging="360"/>
      </w:pPr>
    </w:p>
    <w:p w14:paraId="06070263" w14:textId="77777777" w:rsidR="00147919" w:rsidRPr="00DA326D" w:rsidRDefault="002F4E7A" w:rsidP="00DA326D">
      <w:pPr>
        <w:pStyle w:val="Heading2"/>
      </w:pPr>
      <w:r w:rsidRPr="00DA326D">
        <w:t>Activity 17.10</w:t>
      </w:r>
    </w:p>
    <w:p w14:paraId="55F34CBB" w14:textId="77777777" w:rsidR="00147919" w:rsidRDefault="00291E7A" w:rsidP="00DA326D">
      <w:r w:rsidRPr="00291E7A">
        <w:t>The following papers describe combining methods of data collection:</w:t>
      </w:r>
    </w:p>
    <w:p w14:paraId="5B09380A" w14:textId="77777777" w:rsidR="00147919" w:rsidRDefault="00291E7A" w:rsidP="00DA326D">
      <w:pPr>
        <w:ind w:left="648" w:hanging="360"/>
      </w:pPr>
      <w:proofErr w:type="spellStart"/>
      <w:r w:rsidRPr="00291E7A">
        <w:t>Bidzan</w:t>
      </w:r>
      <w:proofErr w:type="spellEnd"/>
      <w:r w:rsidRPr="00291E7A">
        <w:t xml:space="preserve">, M. and </w:t>
      </w:r>
      <w:proofErr w:type="spellStart"/>
      <w:r w:rsidRPr="00291E7A">
        <w:t>Lutkiewicz</w:t>
      </w:r>
      <w:proofErr w:type="spellEnd"/>
      <w:r w:rsidRPr="00291E7A">
        <w:t xml:space="preserve">, K. (2019) Perceived Stress as a Predictor of Partnership Relation Quality in Polish Mothers of Preterm-Born Children, </w:t>
      </w:r>
      <w:r w:rsidRPr="009D1972">
        <w:rPr>
          <w:rStyle w:val="Emphasis"/>
        </w:rPr>
        <w:t>International Journal of Environmental Research and Public Health</w:t>
      </w:r>
      <w:r w:rsidRPr="00291E7A">
        <w:rPr>
          <w:shd w:val="clear" w:color="auto" w:fill="FFFFFF"/>
        </w:rPr>
        <w:t xml:space="preserve">, </w:t>
      </w:r>
      <w:r w:rsidRPr="00DA326D">
        <w:rPr>
          <w:rStyle w:val="Emphasis"/>
          <w:i w:val="0"/>
        </w:rPr>
        <w:t>16</w:t>
      </w:r>
      <w:r w:rsidRPr="00291E7A">
        <w:rPr>
          <w:shd w:val="clear" w:color="auto" w:fill="FFFFFF"/>
        </w:rPr>
        <w:t xml:space="preserve">(3) </w:t>
      </w:r>
      <w:hyperlink r:id="rId10" w:history="1">
        <w:r w:rsidRPr="00291E7A">
          <w:rPr>
            <w:rStyle w:val="Hyperlink"/>
          </w:rPr>
          <w:t>https://doi.org/10.3390/ijerph16030355</w:t>
        </w:r>
      </w:hyperlink>
    </w:p>
    <w:p w14:paraId="1CB532E9" w14:textId="71637480" w:rsidR="00147919" w:rsidRDefault="00291E7A" w:rsidP="00DA326D">
      <w:pPr>
        <w:ind w:left="648" w:hanging="360"/>
      </w:pPr>
      <w:r w:rsidRPr="00291E7A">
        <w:t xml:space="preserve">Phelan, A. and McCormack, B. (2016) </w:t>
      </w:r>
      <w:hyperlink r:id="rId11" w:history="1">
        <w:r w:rsidRPr="00291E7A">
          <w:rPr>
            <w:rStyle w:val="Hyperlink"/>
          </w:rPr>
          <w:t>Exploring nursing expertise in residential care for older people: a mixed method study</w:t>
        </w:r>
      </w:hyperlink>
      <w:r w:rsidRPr="009D1972">
        <w:rPr>
          <w:rStyle w:val="ng-isolate-scope"/>
          <w:b/>
          <w:bCs/>
        </w:rPr>
        <w:t xml:space="preserve">, </w:t>
      </w:r>
      <w:r w:rsidRPr="009D1972">
        <w:rPr>
          <w:i/>
          <w:iCs/>
        </w:rPr>
        <w:t>Journal of Advanced Nursing</w:t>
      </w:r>
      <w:r w:rsidRPr="00291E7A">
        <w:rPr>
          <w:rStyle w:val="ng-binding"/>
        </w:rPr>
        <w:t>, 72(10): 2524-2535.</w:t>
      </w:r>
    </w:p>
    <w:sectPr w:rsidR="00147919" w:rsidSect="00D83A68">
      <w:headerReference w:type="default" r:id="rId12"/>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24879" w14:textId="77777777" w:rsidR="00291E7A" w:rsidRDefault="00291E7A">
      <w:r>
        <w:separator/>
      </w:r>
    </w:p>
  </w:endnote>
  <w:endnote w:type="continuationSeparator" w:id="0">
    <w:p w14:paraId="43606CBE" w14:textId="77777777" w:rsidR="00291E7A" w:rsidRDefault="0029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ACasl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87630" w14:textId="77777777" w:rsidR="00291E7A" w:rsidRDefault="00291E7A">
      <w:r>
        <w:separator/>
      </w:r>
    </w:p>
  </w:footnote>
  <w:footnote w:type="continuationSeparator" w:id="0">
    <w:p w14:paraId="3F901654" w14:textId="77777777" w:rsidR="00291E7A" w:rsidRDefault="00291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D6C5" w14:textId="77777777" w:rsidR="00291E7A" w:rsidRPr="009D1972" w:rsidRDefault="00291E7A" w:rsidP="00B81062">
    <w:pPr>
      <w:ind w:left="2736"/>
      <w:rPr>
        <w:i/>
      </w:rPr>
    </w:pPr>
    <w:r w:rsidRPr="00B81062">
      <w:t xml:space="preserve">Harvey &amp; Land, </w:t>
    </w:r>
    <w:r w:rsidRPr="009D1972">
      <w:rPr>
        <w:i/>
      </w:rPr>
      <w:t>Research Methods for Nurses and Midwives, 2e</w:t>
    </w:r>
  </w:p>
  <w:p w14:paraId="78D71B9B" w14:textId="77777777" w:rsidR="00291E7A" w:rsidRPr="006F059D" w:rsidRDefault="00291E7A" w:rsidP="00B81062">
    <w:pPr>
      <w:pStyle w:val="Header"/>
      <w:jc w:val="right"/>
    </w:pPr>
    <w:r w:rsidRPr="0050025D">
      <w:t>SAGE Publishing, 202</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83753496">
    <w:abstractNumId w:val="5"/>
  </w:num>
  <w:num w:numId="2" w16cid:durableId="806633231">
    <w:abstractNumId w:val="11"/>
  </w:num>
  <w:num w:numId="3" w16cid:durableId="1845851839">
    <w:abstractNumId w:val="8"/>
  </w:num>
  <w:num w:numId="4" w16cid:durableId="898713402">
    <w:abstractNumId w:val="6"/>
  </w:num>
  <w:num w:numId="5" w16cid:durableId="1172917604">
    <w:abstractNumId w:val="7"/>
  </w:num>
  <w:num w:numId="6" w16cid:durableId="985086386">
    <w:abstractNumId w:val="4"/>
  </w:num>
  <w:num w:numId="7" w16cid:durableId="417484678">
    <w:abstractNumId w:val="2"/>
  </w:num>
  <w:num w:numId="8" w16cid:durableId="1394350734">
    <w:abstractNumId w:val="1"/>
  </w:num>
  <w:num w:numId="9" w16cid:durableId="1815947897">
    <w:abstractNumId w:val="0"/>
  </w:num>
  <w:num w:numId="10" w16cid:durableId="280186378">
    <w:abstractNumId w:val="3"/>
  </w:num>
  <w:num w:numId="11" w16cid:durableId="614992511">
    <w:abstractNumId w:val="9"/>
  </w:num>
  <w:num w:numId="12" w16cid:durableId="20464414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E3MjE1NzEwMzA1NTBU0lEKTi0uzszPAykwrAUAzPU7VywAAAA="/>
  </w:docVars>
  <w:rsids>
    <w:rsidRoot w:val="00823F94"/>
    <w:rsid w:val="00024CB8"/>
    <w:rsid w:val="00033437"/>
    <w:rsid w:val="000F388C"/>
    <w:rsid w:val="00147919"/>
    <w:rsid w:val="0015405F"/>
    <w:rsid w:val="0017404C"/>
    <w:rsid w:val="00185227"/>
    <w:rsid w:val="001A239F"/>
    <w:rsid w:val="001B761C"/>
    <w:rsid w:val="001F7343"/>
    <w:rsid w:val="00227074"/>
    <w:rsid w:val="00272B2E"/>
    <w:rsid w:val="00291E7A"/>
    <w:rsid w:val="002C44D0"/>
    <w:rsid w:val="002D0F36"/>
    <w:rsid w:val="002D5319"/>
    <w:rsid w:val="002F4E7A"/>
    <w:rsid w:val="002F62BA"/>
    <w:rsid w:val="00327683"/>
    <w:rsid w:val="00331370"/>
    <w:rsid w:val="003515FE"/>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23F94"/>
    <w:rsid w:val="00852986"/>
    <w:rsid w:val="00870008"/>
    <w:rsid w:val="00876836"/>
    <w:rsid w:val="008978D0"/>
    <w:rsid w:val="008B339D"/>
    <w:rsid w:val="008C4617"/>
    <w:rsid w:val="008C58C4"/>
    <w:rsid w:val="008D029E"/>
    <w:rsid w:val="008E46E0"/>
    <w:rsid w:val="008F6092"/>
    <w:rsid w:val="00931319"/>
    <w:rsid w:val="0094029B"/>
    <w:rsid w:val="00956287"/>
    <w:rsid w:val="0096128C"/>
    <w:rsid w:val="00963D40"/>
    <w:rsid w:val="00974AA9"/>
    <w:rsid w:val="00991CF3"/>
    <w:rsid w:val="009A40A6"/>
    <w:rsid w:val="009B2FE8"/>
    <w:rsid w:val="009B7BBD"/>
    <w:rsid w:val="009D1972"/>
    <w:rsid w:val="00A059F3"/>
    <w:rsid w:val="00A1465F"/>
    <w:rsid w:val="00A324FE"/>
    <w:rsid w:val="00A44E55"/>
    <w:rsid w:val="00A77424"/>
    <w:rsid w:val="00A84C45"/>
    <w:rsid w:val="00AB42AC"/>
    <w:rsid w:val="00AD5452"/>
    <w:rsid w:val="00AD5E2E"/>
    <w:rsid w:val="00AF0C3C"/>
    <w:rsid w:val="00AF311C"/>
    <w:rsid w:val="00AF4F8B"/>
    <w:rsid w:val="00B164AA"/>
    <w:rsid w:val="00B2033B"/>
    <w:rsid w:val="00B31FED"/>
    <w:rsid w:val="00B36615"/>
    <w:rsid w:val="00B42E08"/>
    <w:rsid w:val="00B73564"/>
    <w:rsid w:val="00B81062"/>
    <w:rsid w:val="00BB0C36"/>
    <w:rsid w:val="00C039B2"/>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DA326D"/>
    <w:rsid w:val="00E06479"/>
    <w:rsid w:val="00E21D27"/>
    <w:rsid w:val="00E352E1"/>
    <w:rsid w:val="00E52712"/>
    <w:rsid w:val="00E74418"/>
    <w:rsid w:val="00EC67A7"/>
    <w:rsid w:val="00EC6AC2"/>
    <w:rsid w:val="00F00579"/>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343AB67"/>
  <w15:docId w15:val="{F68F6392-E0FE-419D-891D-F7EE5177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E7A"/>
    <w:pPr>
      <w:spacing w:line="360" w:lineRule="auto"/>
      <w:contextualSpacing/>
    </w:pPr>
    <w:rPr>
      <w:sz w:val="24"/>
      <w:szCs w:val="24"/>
    </w:rPr>
  </w:style>
  <w:style w:type="paragraph" w:styleId="Heading1">
    <w:name w:val="heading 1"/>
    <w:basedOn w:val="Normal"/>
    <w:next w:val="Normal"/>
    <w:link w:val="Heading1Char"/>
    <w:autoRedefine/>
    <w:qFormat/>
    <w:rsid w:val="00291E7A"/>
    <w:pPr>
      <w:keepNext/>
      <w:keepLines/>
      <w:spacing w:before="100" w:after="100"/>
      <w:outlineLvl w:val="0"/>
    </w:pPr>
    <w:rPr>
      <w:rFonts w:eastAsiaTheme="majorEastAsia" w:cstheme="majorBidi"/>
      <w:b/>
      <w:bCs/>
      <w:color w:val="2E74B5" w:themeColor="accent1" w:themeShade="BF"/>
      <w:sz w:val="36"/>
      <w:szCs w:val="28"/>
      <w:shd w:val="clear" w:color="auto" w:fill="FFFFFF"/>
    </w:rPr>
  </w:style>
  <w:style w:type="paragraph" w:styleId="Heading2">
    <w:name w:val="heading 2"/>
    <w:basedOn w:val="Normal"/>
    <w:next w:val="Normal"/>
    <w:link w:val="Heading2Char"/>
    <w:autoRedefine/>
    <w:unhideWhenUsed/>
    <w:qFormat/>
    <w:rsid w:val="00DA326D"/>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291E7A"/>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DA326D"/>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styleId="BodyText">
    <w:name w:val="Body Text"/>
    <w:basedOn w:val="Normal"/>
    <w:link w:val="BodyTextChar"/>
    <w:uiPriority w:val="99"/>
    <w:unhideWhenUsed/>
    <w:rsid w:val="00291E7A"/>
    <w:pPr>
      <w:spacing w:after="120" w:line="276" w:lineRule="auto"/>
      <w:contextualSpacing w:val="0"/>
    </w:pPr>
    <w:rPr>
      <w:rFonts w:asciiTheme="minorHAnsi" w:eastAsiaTheme="minorHAnsi" w:hAnsiTheme="minorHAnsi" w:cstheme="minorBidi"/>
      <w:sz w:val="22"/>
      <w:szCs w:val="22"/>
      <w:lang w:val="en-GB"/>
    </w:rPr>
  </w:style>
  <w:style w:type="character" w:customStyle="1" w:styleId="BodyTextChar">
    <w:name w:val="Body Text Char"/>
    <w:basedOn w:val="DefaultParagraphFont"/>
    <w:link w:val="BodyText"/>
    <w:uiPriority w:val="99"/>
    <w:rsid w:val="00291E7A"/>
    <w:rPr>
      <w:rFonts w:asciiTheme="minorHAnsi" w:eastAsiaTheme="minorHAnsi" w:hAnsiTheme="minorHAnsi" w:cstheme="minorBidi"/>
      <w:sz w:val="22"/>
      <w:szCs w:val="22"/>
      <w:lang w:val="en-GB"/>
    </w:rPr>
  </w:style>
  <w:style w:type="character" w:customStyle="1" w:styleId="ng-isolate-scope">
    <w:name w:val="ng-isolate-scope"/>
    <w:basedOn w:val="DefaultParagraphFont"/>
    <w:rsid w:val="00291E7A"/>
  </w:style>
  <w:style w:type="character" w:customStyle="1" w:styleId="ng-binding">
    <w:name w:val="ng-binding"/>
    <w:basedOn w:val="DefaultParagraphFont"/>
    <w:rsid w:val="00291E7A"/>
  </w:style>
  <w:style w:type="paragraph" w:customStyle="1" w:styleId="REFReferencetext">
    <w:name w:val="REF Reference text"/>
    <w:basedOn w:val="Normal"/>
    <w:uiPriority w:val="99"/>
    <w:rsid w:val="00291E7A"/>
    <w:pPr>
      <w:widowControl w:val="0"/>
      <w:autoSpaceDE w:val="0"/>
      <w:autoSpaceDN w:val="0"/>
      <w:adjustRightInd w:val="0"/>
      <w:spacing w:line="480" w:lineRule="auto"/>
      <w:ind w:left="180" w:hanging="180"/>
      <w:contextualSpacing w:val="0"/>
      <w:jc w:val="both"/>
      <w:textAlignment w:val="center"/>
    </w:pPr>
    <w:rPr>
      <w:rFonts w:cs="ACaslonPro-Regular"/>
      <w:color w:val="000000"/>
      <w:szCs w:val="20"/>
      <w:lang w:val="en-GB"/>
    </w:rPr>
  </w:style>
  <w:style w:type="character" w:styleId="Emphasis">
    <w:name w:val="Emphasis"/>
    <w:basedOn w:val="DefaultParagraphFont"/>
    <w:uiPriority w:val="20"/>
    <w:qFormat/>
    <w:rsid w:val="00291E7A"/>
    <w:rPr>
      <w:i/>
      <w:iCs/>
    </w:rPr>
  </w:style>
  <w:style w:type="paragraph" w:customStyle="1" w:styleId="Headin2">
    <w:name w:val="Headin 2"/>
    <w:basedOn w:val="Normal"/>
    <w:qFormat/>
    <w:rsid w:val="00291E7A"/>
    <w:rPr>
      <w:color w:val="FF0000"/>
    </w:rPr>
  </w:style>
  <w:style w:type="character" w:styleId="FollowedHyperlink">
    <w:name w:val="FollowedHyperlink"/>
    <w:basedOn w:val="DefaultParagraphFont"/>
    <w:semiHidden/>
    <w:unhideWhenUsed/>
    <w:rsid w:val="0094029B"/>
    <w:rPr>
      <w:color w:val="954F72" w:themeColor="followedHyperlink"/>
      <w:u w:val="single"/>
    </w:rPr>
  </w:style>
  <w:style w:type="paragraph" w:styleId="Revision">
    <w:name w:val="Revision"/>
    <w:hidden/>
    <w:uiPriority w:val="99"/>
    <w:semiHidden/>
    <w:rsid w:val="00DA326D"/>
    <w:rPr>
      <w:sz w:val="24"/>
      <w:szCs w:val="24"/>
    </w:rPr>
  </w:style>
  <w:style w:type="character" w:styleId="UnresolvedMention">
    <w:name w:val="Unresolved Mention"/>
    <w:basedOn w:val="DefaultParagraphFont"/>
    <w:uiPriority w:val="99"/>
    <w:semiHidden/>
    <w:unhideWhenUsed/>
    <w:rsid w:val="00DA3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F10497323155701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cu.summon.serialssolutions.com/2.0.0/link/0/eLvHCXMwnV1bS8MwFD7oQPDF-6XeCL7oS12TXtLKEObYFB8UZHuUcpYmMGSdzAn-fJM0LU4QxLcWcmk5Obfky3cAQnYV-D9sguKJUEnMlciYZDGqOAtM96IQNE1ic1f5tp8830XDQTz6Vvmrooto9t-MoljzbfQdx-_tBpiDpa1rbPIgHQGYLIw-9X49TnAUQ0s9lxyTM8-NU2oC18R5nsEmvNQfWUNOxqJm-V9mdPzXj2zBhgtJSbdaQ9uwIssdWHPbCLsgGpge6Uxx_nrj0AKdtn0jtkaAKelMJiXRyfvEXv3VAxpQGdExMZmZSuCkwqpfEyTTyacsSFW7mlh-2z0YDfrD3r3vSjP4NOQp9VNkSSjDUMWySDNznJdpsTIhlOLjQMSB5Fq1dUseIYaGcQeZ0i0xKIrEUATuQ6uclfIQCM_GMghT5Eqmkfaj2oBEVGRKxkiRU_TgvJZL_lYxcORN5oKlPY-jHlwYieVGKxdzFOguF-gpDL9V3o1Mnsd0rOfBQSXUZjCmM9pIp7keXFq5_D5L_tB9tA9Hf296DOs6xkoq_N8JtBbzD3kKq3qtnNk1-gVnR-xL" TargetMode="External"/><Relationship Id="rId5" Type="http://schemas.openxmlformats.org/officeDocument/2006/relationships/webSettings" Target="webSettings.xml"/><Relationship Id="rId10" Type="http://schemas.openxmlformats.org/officeDocument/2006/relationships/hyperlink" Target="https://doi.org/10.3390/ijerph16030355" TargetMode="External"/><Relationship Id="rId4" Type="http://schemas.openxmlformats.org/officeDocument/2006/relationships/settings" Target="settings.xml"/><Relationship Id="rId9" Type="http://schemas.openxmlformats.org/officeDocument/2006/relationships/hyperlink" Target="https://doi.org/10.1177/21582440145309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127EA-BA5D-4C59-8C3B-F59CCADE9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5136</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14</cp:revision>
  <dcterms:created xsi:type="dcterms:W3CDTF">2021-12-21T04:36:00Z</dcterms:created>
  <dcterms:modified xsi:type="dcterms:W3CDTF">2022-05-27T15:59:00Z</dcterms:modified>
</cp:coreProperties>
</file>