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A0BE" w14:textId="77777777" w:rsidR="0016118F" w:rsidRDefault="00651649" w:rsidP="00032062">
      <w:pPr>
        <w:pStyle w:val="Title"/>
      </w:pPr>
      <w:r w:rsidRPr="00651649">
        <w:t>Activities</w:t>
      </w:r>
    </w:p>
    <w:p w14:paraId="4A359F55" w14:textId="77777777" w:rsidR="0016118F" w:rsidRDefault="00651649" w:rsidP="00032062">
      <w:pPr>
        <w:pStyle w:val="Heading1"/>
      </w:pPr>
      <w:r>
        <w:t>Chapter 21: Rigour</w:t>
      </w:r>
    </w:p>
    <w:p w14:paraId="062E5AFF" w14:textId="77777777" w:rsidR="0016118F" w:rsidRPr="00032062" w:rsidRDefault="004E7AAA" w:rsidP="00032062">
      <w:pPr>
        <w:pStyle w:val="Heading2"/>
      </w:pPr>
      <w:r w:rsidRPr="00032062">
        <w:t>Activity 21.1</w:t>
      </w:r>
    </w:p>
    <w:p w14:paraId="3B659751" w14:textId="16A73491" w:rsidR="0016118F" w:rsidRDefault="004E7AAA" w:rsidP="00032062">
      <w:r w:rsidRPr="00032062">
        <w:t>In earlier chapters</w:t>
      </w:r>
      <w:r w:rsidR="00991A46">
        <w:t>,</w:t>
      </w:r>
      <w:r w:rsidRPr="00032062">
        <w:t xml:space="preserve"> we have previously referred to terms that are often used when discussing the production of good quality research. Give a definition for the following terms: validity, reliability, generalisability, </w:t>
      </w:r>
      <w:proofErr w:type="gramStart"/>
      <w:r w:rsidRPr="00032062">
        <w:t>trustworthiness</w:t>
      </w:r>
      <w:proofErr w:type="gramEnd"/>
      <w:r w:rsidRPr="00032062">
        <w:t xml:space="preserve"> and rigour.</w:t>
      </w:r>
    </w:p>
    <w:p w14:paraId="27985946" w14:textId="77777777" w:rsidR="00032062" w:rsidRPr="00032062" w:rsidRDefault="00032062" w:rsidP="00032062"/>
    <w:p w14:paraId="15F2E331" w14:textId="77777777" w:rsidR="0016118F" w:rsidRPr="00032062" w:rsidRDefault="004E7AAA" w:rsidP="00032062">
      <w:pPr>
        <w:pStyle w:val="Heading2"/>
        <w:rPr>
          <w:b w:val="0"/>
          <w:bCs w:val="0"/>
        </w:rPr>
      </w:pPr>
      <w:r w:rsidRPr="00032062">
        <w:t>Activity 21.2</w:t>
      </w:r>
    </w:p>
    <w:p w14:paraId="220295C3" w14:textId="3E3C0DF2" w:rsidR="0016118F" w:rsidRDefault="00651649" w:rsidP="00032062">
      <w:r w:rsidRPr="00651649">
        <w:t xml:space="preserve">The following paper provides </w:t>
      </w:r>
      <w:r w:rsidR="00991A46">
        <w:t xml:space="preserve">a </w:t>
      </w:r>
      <w:r w:rsidRPr="00651649">
        <w:t>more detailed discussion about strategies to promote</w:t>
      </w:r>
      <w:r w:rsidR="00BE7B42">
        <w:t xml:space="preserve"> </w:t>
      </w:r>
      <w:r w:rsidRPr="00651649">
        <w:t>content and face validity:</w:t>
      </w:r>
    </w:p>
    <w:p w14:paraId="7977CD30" w14:textId="00EA50C7" w:rsidR="0016118F" w:rsidRDefault="00651649" w:rsidP="00032062">
      <w:pPr>
        <w:ind w:left="648" w:hanging="360"/>
      </w:pPr>
      <w:r w:rsidRPr="00651649">
        <w:t xml:space="preserve">McElroy, C. and </w:t>
      </w:r>
      <w:proofErr w:type="spellStart"/>
      <w:r w:rsidRPr="00651649">
        <w:t>Esterhuizen</w:t>
      </w:r>
      <w:proofErr w:type="spellEnd"/>
      <w:r w:rsidRPr="00651649">
        <w:t xml:space="preserve">, P. (2017) Compassionate communication in acute healthcare: establishing the face and content validity of a questionnaire. </w:t>
      </w:r>
      <w:r w:rsidRPr="00651649">
        <w:rPr>
          <w:i/>
          <w:iCs/>
        </w:rPr>
        <w:t>Journal of Research in Nursing</w:t>
      </w:r>
      <w:r w:rsidRPr="00651649">
        <w:t xml:space="preserve"> 22(1-2): 72–88</w:t>
      </w:r>
      <w:r w:rsidR="00032062">
        <w:t xml:space="preserve">. </w:t>
      </w:r>
      <w:hyperlink r:id="rId8" w:history="1">
        <w:r w:rsidR="00032062" w:rsidRPr="00D13F3D">
          <w:rPr>
            <w:rStyle w:val="Hyperlink"/>
          </w:rPr>
          <w:t>https://doi.org/10.1177%2F1744987116678903</w:t>
        </w:r>
      </w:hyperlink>
    </w:p>
    <w:p w14:paraId="5B4E241B" w14:textId="77777777" w:rsidR="00032062" w:rsidRPr="00032062" w:rsidRDefault="00032062" w:rsidP="00032062">
      <w:pPr>
        <w:ind w:left="648" w:hanging="360"/>
      </w:pPr>
    </w:p>
    <w:p w14:paraId="4C78A869" w14:textId="77777777" w:rsidR="0016118F" w:rsidRPr="00032062" w:rsidRDefault="004E7AAA" w:rsidP="00032062">
      <w:pPr>
        <w:pStyle w:val="Heading2"/>
        <w:rPr>
          <w:b w:val="0"/>
          <w:bCs w:val="0"/>
        </w:rPr>
      </w:pPr>
      <w:r w:rsidRPr="00032062">
        <w:t>Activity 21.3</w:t>
      </w:r>
    </w:p>
    <w:p w14:paraId="4BE19956" w14:textId="77777777" w:rsidR="0016118F" w:rsidRDefault="00651649" w:rsidP="00032062">
      <w:r w:rsidRPr="00651649">
        <w:t>The following paper illustrates the challenges and benefits of conducting a pilot study:</w:t>
      </w:r>
    </w:p>
    <w:p w14:paraId="1192FE84" w14:textId="54D0C21D" w:rsidR="0016118F" w:rsidRDefault="00651649" w:rsidP="00032062">
      <w:pPr>
        <w:ind w:left="648" w:hanging="360"/>
      </w:pPr>
      <w:r w:rsidRPr="00651649">
        <w:t xml:space="preserve">Day, T.L. Bench, </w:t>
      </w:r>
      <w:proofErr w:type="gramStart"/>
      <w:r w:rsidRPr="00651649">
        <w:t>S.</w:t>
      </w:r>
      <w:proofErr w:type="gramEnd"/>
      <w:r w:rsidRPr="00651649">
        <w:t xml:space="preserve"> and Griffiths, P.D. (2015) The role of pilot testing for a randomised control trial of a complex intervention in critical care. </w:t>
      </w:r>
      <w:r w:rsidR="004E7AAA" w:rsidRPr="004377C9">
        <w:t>Journal of Research in Nursing</w:t>
      </w:r>
      <w:r w:rsidRPr="00651649">
        <w:t>, 20(3): 167</w:t>
      </w:r>
      <w:r w:rsidR="00743F5E">
        <w:t>–</w:t>
      </w:r>
      <w:r w:rsidRPr="00651649">
        <w:t>178</w:t>
      </w:r>
      <w:r w:rsidR="00032062">
        <w:t xml:space="preserve">. </w:t>
      </w:r>
      <w:hyperlink r:id="rId9" w:history="1">
        <w:r w:rsidR="00032062" w:rsidRPr="00D13F3D">
          <w:rPr>
            <w:rStyle w:val="Hyperlink"/>
          </w:rPr>
          <w:t>https://doi.org/10.1177%2F1744987114547607</w:t>
        </w:r>
      </w:hyperlink>
    </w:p>
    <w:p w14:paraId="68DE7730" w14:textId="77777777" w:rsidR="00032062" w:rsidRDefault="00032062" w:rsidP="00032062">
      <w:pPr>
        <w:ind w:left="648" w:hanging="360"/>
      </w:pPr>
    </w:p>
    <w:p w14:paraId="7A1DAC46" w14:textId="77777777" w:rsidR="0016118F" w:rsidRPr="00032062" w:rsidRDefault="004E7AAA" w:rsidP="00032062">
      <w:pPr>
        <w:pStyle w:val="Heading2"/>
        <w:rPr>
          <w:b w:val="0"/>
          <w:bCs w:val="0"/>
        </w:rPr>
      </w:pPr>
      <w:r w:rsidRPr="00032062">
        <w:t>Activity 21.4</w:t>
      </w:r>
    </w:p>
    <w:p w14:paraId="5F6705D8" w14:textId="77777777" w:rsidR="0016118F" w:rsidRDefault="00651649" w:rsidP="00032062">
      <w:r w:rsidRPr="00651649">
        <w:t>For examples of published pilot studies read:</w:t>
      </w:r>
    </w:p>
    <w:p w14:paraId="66180B81" w14:textId="466611D9" w:rsidR="0016118F" w:rsidRDefault="00651649" w:rsidP="00032062">
      <w:pPr>
        <w:ind w:left="648" w:hanging="360"/>
      </w:pPr>
      <w:r w:rsidRPr="00651649">
        <w:t xml:space="preserve">Copeland, D. (2020) Brief Workplace Interventions Addressing Burnout, Compassion Fatigue, and Teamwork: A Pilot Study. </w:t>
      </w:r>
      <w:r w:rsidRPr="00651649">
        <w:rPr>
          <w:i/>
          <w:iCs/>
        </w:rPr>
        <w:t>Western Journal of Nursing Research</w:t>
      </w:r>
      <w:r w:rsidRPr="00651649">
        <w:t>, 1–8</w:t>
      </w:r>
      <w:r w:rsidR="00032062">
        <w:t xml:space="preserve">. </w:t>
      </w:r>
      <w:r w:rsidR="00032062" w:rsidRPr="00032062">
        <w:t>https://doi.org/10.1177/0193945920938048</w:t>
      </w:r>
    </w:p>
    <w:p w14:paraId="5FE1E80E" w14:textId="77777777" w:rsidR="0016118F" w:rsidRDefault="00651649" w:rsidP="00032062">
      <w:r w:rsidRPr="00651649">
        <w:t>Or</w:t>
      </w:r>
    </w:p>
    <w:p w14:paraId="51061E33" w14:textId="148D0681" w:rsidR="0016118F" w:rsidRDefault="00651649" w:rsidP="00032062">
      <w:pPr>
        <w:autoSpaceDE w:val="0"/>
        <w:autoSpaceDN w:val="0"/>
        <w:adjustRightInd w:val="0"/>
        <w:ind w:left="648" w:hanging="360"/>
      </w:pPr>
      <w:r w:rsidRPr="00651649">
        <w:lastRenderedPageBreak/>
        <w:t xml:space="preserve">Farewell, C.V. Jewell, J. Walls, J. and </w:t>
      </w:r>
      <w:proofErr w:type="spellStart"/>
      <w:r w:rsidRPr="00651649">
        <w:t>Leiferman</w:t>
      </w:r>
      <w:proofErr w:type="spellEnd"/>
      <w:r w:rsidRPr="00651649">
        <w:t xml:space="preserve">, J.A. (2020) A Mixed-Methods Pilot Study of Perinatal Risk and Resilience During COVID-19. </w:t>
      </w:r>
      <w:r w:rsidRPr="00651649">
        <w:rPr>
          <w:i/>
          <w:iCs/>
        </w:rPr>
        <w:t>Journal of Primary Care and Community Health</w:t>
      </w:r>
      <w:r w:rsidRPr="00651649">
        <w:t>, 11: 1</w:t>
      </w:r>
      <w:r w:rsidR="00743F5E">
        <w:t>–</w:t>
      </w:r>
      <w:r w:rsidRPr="00651649">
        <w:t>8</w:t>
      </w:r>
      <w:r w:rsidR="00032062">
        <w:t xml:space="preserve">. </w:t>
      </w:r>
      <w:hyperlink r:id="rId10" w:history="1">
        <w:r w:rsidR="00032062" w:rsidRPr="00D13F3D">
          <w:rPr>
            <w:rStyle w:val="Hyperlink"/>
          </w:rPr>
          <w:t>https://doi.org/10.1177/2150132720944074</w:t>
        </w:r>
      </w:hyperlink>
    </w:p>
    <w:p w14:paraId="77132090" w14:textId="77777777" w:rsidR="00032062" w:rsidRPr="00032062" w:rsidRDefault="00032062" w:rsidP="00032062">
      <w:pPr>
        <w:autoSpaceDE w:val="0"/>
        <w:autoSpaceDN w:val="0"/>
        <w:adjustRightInd w:val="0"/>
        <w:ind w:left="648" w:hanging="360"/>
      </w:pPr>
    </w:p>
    <w:p w14:paraId="0C6806A5" w14:textId="77777777" w:rsidR="0016118F" w:rsidRPr="00032062" w:rsidRDefault="004E7AAA" w:rsidP="00032062">
      <w:pPr>
        <w:pStyle w:val="Heading2"/>
        <w:rPr>
          <w:b w:val="0"/>
          <w:bCs w:val="0"/>
        </w:rPr>
      </w:pPr>
      <w:r w:rsidRPr="00032062">
        <w:t>Activity 21.5</w:t>
      </w:r>
    </w:p>
    <w:p w14:paraId="0B76C41B" w14:textId="013F3E96" w:rsidR="00BE7B42" w:rsidRDefault="00651649" w:rsidP="00651649">
      <w:r w:rsidRPr="00651649">
        <w:t>You are going to conduct interviews with a group of researchers, to support the evaluation of a study’s fidelity. What sorts of topics might you cover in the interview?</w:t>
      </w:r>
    </w:p>
    <w:p w14:paraId="7250AB0C" w14:textId="77777777" w:rsidR="00032062" w:rsidRDefault="00032062" w:rsidP="00651649"/>
    <w:p w14:paraId="570E8A8E" w14:textId="77777777" w:rsidR="0016118F" w:rsidRPr="00032062" w:rsidRDefault="004E7AAA" w:rsidP="00032062">
      <w:pPr>
        <w:pStyle w:val="Heading2"/>
      </w:pPr>
      <w:r w:rsidRPr="00032062">
        <w:t>Activity 21.6</w:t>
      </w:r>
    </w:p>
    <w:p w14:paraId="63E63AE2" w14:textId="2B87F462" w:rsidR="0016118F" w:rsidRDefault="00651649" w:rsidP="00032062">
      <w:r w:rsidRPr="00651649">
        <w:t xml:space="preserve">For examples of papers </w:t>
      </w:r>
      <w:r w:rsidR="00991A46">
        <w:t>that</w:t>
      </w:r>
      <w:r w:rsidR="00991A46" w:rsidRPr="00651649">
        <w:t xml:space="preserve"> </w:t>
      </w:r>
      <w:r w:rsidRPr="00651649">
        <w:t>describe establishing the fidelity of a study read:</w:t>
      </w:r>
    </w:p>
    <w:p w14:paraId="6534FD9D" w14:textId="23C734AE" w:rsidR="00BE7B42" w:rsidRDefault="00651649" w:rsidP="00651649">
      <w:pPr>
        <w:ind w:left="648" w:hanging="360"/>
        <w:rPr>
          <w:color w:val="131413"/>
        </w:rPr>
      </w:pPr>
      <w:r w:rsidRPr="00651649">
        <w:rPr>
          <w:color w:val="131413"/>
        </w:rPr>
        <w:t xml:space="preserve">Scherer, R.W. Erdman, S.A. Gold, S. Formby, C. and for the TRTT Research Group (2020) Treatment fidelity in the Tinnitus Retraining Therapy Trial. </w:t>
      </w:r>
      <w:r w:rsidRPr="00651649">
        <w:rPr>
          <w:i/>
          <w:iCs/>
          <w:color w:val="131413"/>
        </w:rPr>
        <w:t>Trials</w:t>
      </w:r>
      <w:r w:rsidRPr="00651649">
        <w:rPr>
          <w:color w:val="131413"/>
        </w:rPr>
        <w:t>, 21:</w:t>
      </w:r>
      <w:r w:rsidR="00743F5E">
        <w:rPr>
          <w:color w:val="131413"/>
        </w:rPr>
        <w:t xml:space="preserve"> </w:t>
      </w:r>
      <w:r w:rsidRPr="00651649">
        <w:rPr>
          <w:color w:val="131413"/>
        </w:rPr>
        <w:t xml:space="preserve">670 </w:t>
      </w:r>
      <w:hyperlink r:id="rId11" w:history="1">
        <w:r w:rsidRPr="00651649">
          <w:rPr>
            <w:rStyle w:val="Hyperlink"/>
          </w:rPr>
          <w:t>https://doi.org/10.1186/s13063-020-04530-9</w:t>
        </w:r>
      </w:hyperlink>
    </w:p>
    <w:p w14:paraId="3698A195" w14:textId="77777777" w:rsidR="0016118F" w:rsidRDefault="00651649" w:rsidP="00032062">
      <w:pPr>
        <w:autoSpaceDE w:val="0"/>
        <w:autoSpaceDN w:val="0"/>
        <w:adjustRightInd w:val="0"/>
        <w:jc w:val="both"/>
        <w:rPr>
          <w:color w:val="131413"/>
        </w:rPr>
      </w:pPr>
      <w:r w:rsidRPr="00651649">
        <w:rPr>
          <w:color w:val="131413"/>
        </w:rPr>
        <w:t>Or</w:t>
      </w:r>
    </w:p>
    <w:p w14:paraId="5927571D" w14:textId="1BBEF229" w:rsidR="0016118F" w:rsidRDefault="004E7AAA" w:rsidP="00032062">
      <w:pPr>
        <w:ind w:left="648" w:hanging="360"/>
        <w:rPr>
          <w:shd w:val="clear" w:color="auto" w:fill="FCFCFC"/>
        </w:rPr>
      </w:pPr>
      <w:r w:rsidRPr="00032062">
        <w:rPr>
          <w:shd w:val="clear" w:color="auto" w:fill="FCFCFC"/>
        </w:rPr>
        <w:t xml:space="preserve">Harsha Bangura, A. </w:t>
      </w:r>
      <w:proofErr w:type="spellStart"/>
      <w:r w:rsidRPr="00032062">
        <w:rPr>
          <w:shd w:val="clear" w:color="auto" w:fill="FCFCFC"/>
        </w:rPr>
        <w:t>Nirola</w:t>
      </w:r>
      <w:proofErr w:type="spellEnd"/>
      <w:r w:rsidRPr="00032062">
        <w:rPr>
          <w:shd w:val="clear" w:color="auto" w:fill="FCFCFC"/>
        </w:rPr>
        <w:t>, I. Thapa, P. </w:t>
      </w:r>
      <w:r w:rsidRPr="00032062">
        <w:rPr>
          <w:i/>
          <w:iCs/>
          <w:shd w:val="clear" w:color="auto" w:fill="FCFCFC"/>
        </w:rPr>
        <w:t>et al.</w:t>
      </w:r>
      <w:r w:rsidRPr="00032062">
        <w:rPr>
          <w:shd w:val="clear" w:color="auto" w:fill="FCFCFC"/>
        </w:rPr>
        <w:t> (2020) Measuring fidelity, feasibility, costs: an implementation evaluation of a cluster-controlled trial of group antenatal care in rural Nepal. </w:t>
      </w:r>
      <w:r w:rsidRPr="00032062">
        <w:rPr>
          <w:i/>
          <w:iCs/>
          <w:shd w:val="clear" w:color="auto" w:fill="FCFCFC"/>
        </w:rPr>
        <w:t xml:space="preserve">Reproductive Health, </w:t>
      </w:r>
      <w:r w:rsidRPr="00032062">
        <w:rPr>
          <w:bCs/>
          <w:shd w:val="clear" w:color="auto" w:fill="FCFCFC"/>
        </w:rPr>
        <w:t>17(</w:t>
      </w:r>
      <w:r w:rsidRPr="00032062">
        <w:rPr>
          <w:shd w:val="clear" w:color="auto" w:fill="FCFCFC"/>
        </w:rPr>
        <w:t>5)</w:t>
      </w:r>
      <w:r w:rsidR="00743F5E">
        <w:rPr>
          <w:shd w:val="clear" w:color="auto" w:fill="FCFCFC"/>
        </w:rPr>
        <w:t>.</w:t>
      </w:r>
      <w:r w:rsidRPr="00032062">
        <w:rPr>
          <w:shd w:val="clear" w:color="auto" w:fill="FCFCFC"/>
        </w:rPr>
        <w:t xml:space="preserve"> </w:t>
      </w:r>
      <w:hyperlink r:id="rId12" w:history="1">
        <w:r w:rsidR="00032062" w:rsidRPr="00032062">
          <w:rPr>
            <w:rStyle w:val="Hyperlink"/>
            <w:shd w:val="clear" w:color="auto" w:fill="FCFCFC"/>
          </w:rPr>
          <w:t>https://doi.org/10.1186/s12978-019-0840-4</w:t>
        </w:r>
      </w:hyperlink>
      <w:r w:rsidR="00032062">
        <w:rPr>
          <w:shd w:val="clear" w:color="auto" w:fill="FCFCFC"/>
        </w:rPr>
        <w:t xml:space="preserve"> </w:t>
      </w:r>
    </w:p>
    <w:p w14:paraId="075CC539" w14:textId="77777777" w:rsidR="00032062" w:rsidRPr="00032062" w:rsidRDefault="00032062" w:rsidP="00032062">
      <w:pPr>
        <w:ind w:left="648" w:hanging="360"/>
      </w:pPr>
    </w:p>
    <w:p w14:paraId="66EFC6D7" w14:textId="77777777" w:rsidR="0016118F" w:rsidRPr="00032062" w:rsidRDefault="004E7AAA" w:rsidP="00032062">
      <w:pPr>
        <w:pStyle w:val="Heading2"/>
        <w:rPr>
          <w:b w:val="0"/>
          <w:bCs w:val="0"/>
        </w:rPr>
      </w:pPr>
      <w:r w:rsidRPr="00032062">
        <w:t>Activity 21.7</w:t>
      </w:r>
    </w:p>
    <w:p w14:paraId="17AC2304" w14:textId="77777777" w:rsidR="0016118F" w:rsidRDefault="00651649" w:rsidP="00032062">
      <w:r w:rsidRPr="00651649">
        <w:t xml:space="preserve">The following papers provide </w:t>
      </w:r>
      <w:r w:rsidR="00991A46">
        <w:t xml:space="preserve">a </w:t>
      </w:r>
      <w:r w:rsidRPr="00651649">
        <w:t>more detailed discussion about strategies to promote the rigour of a qualitative study:</w:t>
      </w:r>
    </w:p>
    <w:p w14:paraId="301DC0B7" w14:textId="5349AE57" w:rsidR="0016118F" w:rsidRDefault="00651649" w:rsidP="00032062">
      <w:pPr>
        <w:ind w:left="648" w:hanging="360"/>
      </w:pPr>
      <w:r w:rsidRPr="00651649">
        <w:t xml:space="preserve">Houghton, C. Casey, D. Shaw, D. and Murphy, K. (2013) Rigour in qualitative case-study research, </w:t>
      </w:r>
      <w:r w:rsidRPr="00651649">
        <w:rPr>
          <w:i/>
        </w:rPr>
        <w:t>Nurse Researcher</w:t>
      </w:r>
      <w:r w:rsidRPr="00651649">
        <w:t>, 20(4): 12</w:t>
      </w:r>
      <w:r w:rsidR="00743F5E">
        <w:t>–</w:t>
      </w:r>
      <w:r w:rsidRPr="00651649">
        <w:t>17.</w:t>
      </w:r>
    </w:p>
    <w:p w14:paraId="5AFBF042" w14:textId="6B808E4D" w:rsidR="0016118F" w:rsidRDefault="00651649" w:rsidP="00032062">
      <w:pPr>
        <w:ind w:left="648" w:hanging="360"/>
      </w:pPr>
      <w:proofErr w:type="spellStart"/>
      <w:r w:rsidRPr="00651649">
        <w:t>Darawsheh</w:t>
      </w:r>
      <w:proofErr w:type="spellEnd"/>
      <w:r w:rsidRPr="00651649">
        <w:t xml:space="preserve">, W. (2014) Reflexivity in research, promoting rigour, reliability and validity in qualitative research, </w:t>
      </w:r>
      <w:r w:rsidRPr="00651649">
        <w:rPr>
          <w:i/>
        </w:rPr>
        <w:t>International Journal of Therapy and Rehabilitation</w:t>
      </w:r>
      <w:r w:rsidRPr="00651649">
        <w:t>, 21(12): 560</w:t>
      </w:r>
      <w:r w:rsidR="00743F5E">
        <w:t>–</w:t>
      </w:r>
      <w:r w:rsidRPr="00651649">
        <w:t>568.</w:t>
      </w:r>
    </w:p>
    <w:sectPr w:rsidR="0016118F" w:rsidSect="00D83A68">
      <w:headerReference w:type="defaul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6C9F" w14:textId="77777777" w:rsidR="00651649" w:rsidRDefault="00651649">
      <w:r>
        <w:separator/>
      </w:r>
    </w:p>
  </w:endnote>
  <w:endnote w:type="continuationSeparator" w:id="0">
    <w:p w14:paraId="6ACAA16F" w14:textId="77777777" w:rsidR="00651649" w:rsidRDefault="0065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1DD5" w14:textId="77777777" w:rsidR="00651649" w:rsidRDefault="00651649">
      <w:r>
        <w:separator/>
      </w:r>
    </w:p>
  </w:footnote>
  <w:footnote w:type="continuationSeparator" w:id="0">
    <w:p w14:paraId="36C2B7A8" w14:textId="77777777" w:rsidR="00651649" w:rsidRDefault="0065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5A01" w14:textId="77777777" w:rsidR="00651649" w:rsidRPr="00B81062" w:rsidRDefault="00651649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 xml:space="preserve">Research Methods for </w:t>
    </w:r>
    <w:proofErr w:type="gramStart"/>
    <w:r w:rsidRPr="00B81062">
      <w:rPr>
        <w:i/>
      </w:rPr>
      <w:t>Nurses</w:t>
    </w:r>
    <w:proofErr w:type="gramEnd"/>
    <w:r w:rsidRPr="00B81062">
      <w:rPr>
        <w:i/>
      </w:rPr>
      <w:t xml:space="preserve"> and Midwives, 2e</w:t>
    </w:r>
  </w:p>
  <w:p w14:paraId="219BB6B3" w14:textId="77777777" w:rsidR="00651649" w:rsidRPr="006F059D" w:rsidRDefault="00651649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901091">
    <w:abstractNumId w:val="5"/>
  </w:num>
  <w:num w:numId="2" w16cid:durableId="564755986">
    <w:abstractNumId w:val="11"/>
  </w:num>
  <w:num w:numId="3" w16cid:durableId="427048564">
    <w:abstractNumId w:val="8"/>
  </w:num>
  <w:num w:numId="4" w16cid:durableId="434516498">
    <w:abstractNumId w:val="6"/>
  </w:num>
  <w:num w:numId="5" w16cid:durableId="1930844665">
    <w:abstractNumId w:val="7"/>
  </w:num>
  <w:num w:numId="6" w16cid:durableId="375202784">
    <w:abstractNumId w:val="4"/>
  </w:num>
  <w:num w:numId="7" w16cid:durableId="1197157450">
    <w:abstractNumId w:val="2"/>
  </w:num>
  <w:num w:numId="8" w16cid:durableId="906695311">
    <w:abstractNumId w:val="1"/>
  </w:num>
  <w:num w:numId="9" w16cid:durableId="544220466">
    <w:abstractNumId w:val="0"/>
  </w:num>
  <w:num w:numId="10" w16cid:durableId="955410433">
    <w:abstractNumId w:val="3"/>
  </w:num>
  <w:num w:numId="11" w16cid:durableId="332076503">
    <w:abstractNumId w:val="9"/>
  </w:num>
  <w:num w:numId="12" w16cid:durableId="1419862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B8D"/>
    <w:rsid w:val="00024CB8"/>
    <w:rsid w:val="00032062"/>
    <w:rsid w:val="00033437"/>
    <w:rsid w:val="000F388C"/>
    <w:rsid w:val="0015405F"/>
    <w:rsid w:val="0016118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377C9"/>
    <w:rsid w:val="004762E3"/>
    <w:rsid w:val="004817D8"/>
    <w:rsid w:val="00486A8A"/>
    <w:rsid w:val="004A1135"/>
    <w:rsid w:val="004B17D5"/>
    <w:rsid w:val="004C7FAF"/>
    <w:rsid w:val="004E02C0"/>
    <w:rsid w:val="004E5CF4"/>
    <w:rsid w:val="004E7AAA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1649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43F5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87B8D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A46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BE7B42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359113E"/>
  <w15:docId w15:val="{D6419B79-A2FC-4D40-837F-5407829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649"/>
    <w:pPr>
      <w:spacing w:line="360" w:lineRule="auto"/>
      <w:contextualSpacing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65164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51649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5164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51649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customStyle="1" w:styleId="B1TFBox1textfullout">
    <w:name w:val="B1TF Box1 text full out"/>
    <w:basedOn w:val="Normal"/>
    <w:next w:val="Normal"/>
    <w:uiPriority w:val="99"/>
    <w:rsid w:val="00651649"/>
    <w:pPr>
      <w:widowControl w:val="0"/>
      <w:autoSpaceDE w:val="0"/>
      <w:autoSpaceDN w:val="0"/>
      <w:adjustRightInd w:val="0"/>
      <w:spacing w:after="240" w:line="480" w:lineRule="auto"/>
      <w:contextualSpacing w:val="0"/>
      <w:jc w:val="both"/>
    </w:pPr>
    <w:rPr>
      <w:color w:val="993300"/>
    </w:rPr>
  </w:style>
  <w:style w:type="paragraph" w:customStyle="1" w:styleId="B1HBox1heading">
    <w:name w:val="B1H Box1 heading"/>
    <w:basedOn w:val="Normal"/>
    <w:next w:val="Normal"/>
    <w:uiPriority w:val="99"/>
    <w:rsid w:val="00651649"/>
    <w:pPr>
      <w:widowControl w:val="0"/>
      <w:autoSpaceDE w:val="0"/>
      <w:autoSpaceDN w:val="0"/>
      <w:adjustRightInd w:val="0"/>
      <w:spacing w:before="120" w:after="120" w:line="480" w:lineRule="auto"/>
      <w:contextualSpacing w:val="0"/>
      <w:jc w:val="both"/>
    </w:pPr>
    <w:rPr>
      <w:b/>
      <w:color w:val="993300"/>
      <w:spacing w:val="10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BE7B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3206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7449871166789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86/s12978-019-0840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86/s13063-020-04530-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77/2150132720944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17449871145476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B1F4-0959-49B9-AD83-D8304FE1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2988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2021-12-21T05:49:00Z</dcterms:created>
  <dcterms:modified xsi:type="dcterms:W3CDTF">2022-05-27T16:19:00Z</dcterms:modified>
</cp:coreProperties>
</file>