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759E" w14:textId="77777777" w:rsidR="00C205A3" w:rsidRPr="00543CF2" w:rsidRDefault="00C205A3" w:rsidP="00543CF2">
      <w:pPr>
        <w:pStyle w:val="Title"/>
        <w:rPr>
          <w:szCs w:val="24"/>
        </w:rPr>
      </w:pPr>
      <w:r w:rsidRPr="00C205A3">
        <w:t>Quiz Questions</w:t>
      </w:r>
    </w:p>
    <w:p w14:paraId="52A1794E" w14:textId="77777777" w:rsidR="00C205A3" w:rsidRPr="00543CF2" w:rsidRDefault="00C205A3" w:rsidP="00543CF2">
      <w:pPr>
        <w:pStyle w:val="Heading1"/>
      </w:pPr>
      <w:r>
        <w:t>Chapter 23: Writing up and disseminating your research</w:t>
      </w:r>
    </w:p>
    <w:p w14:paraId="17B787F2" w14:textId="48A5A803" w:rsidR="00C205A3" w:rsidRPr="00543CF2" w:rsidRDefault="00C205A3" w:rsidP="00543CF2">
      <w:r w:rsidRPr="00543CF2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543CF2">
        <w:t>Give 8 reasons why nursing and midwifery research findings should be disseminated</w:t>
      </w:r>
      <w:r w:rsidR="00543CF2">
        <w:t>.</w:t>
      </w:r>
    </w:p>
    <w:p w14:paraId="178D056B" w14:textId="70AE939B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 xml:space="preserve">To build a body of evidence to ensure </w:t>
      </w:r>
      <w:r w:rsidR="007C525A">
        <w:t xml:space="preserve">the </w:t>
      </w:r>
      <w:r w:rsidRPr="00C205A3">
        <w:t xml:space="preserve">practice is </w:t>
      </w:r>
      <w:r w:rsidR="007C525A" w:rsidRPr="00C205A3">
        <w:t>evidence</w:t>
      </w:r>
      <w:r w:rsidR="007C525A">
        <w:t>-</w:t>
      </w:r>
      <w:r w:rsidRPr="00C205A3">
        <w:t>based.</w:t>
      </w:r>
    </w:p>
    <w:p w14:paraId="1815875B" w14:textId="5D05B85F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 xml:space="preserve">To facilitate the delivery of safe, effective, </w:t>
      </w:r>
      <w:r w:rsidR="007C525A" w:rsidRPr="00543CF2">
        <w:t>high</w:t>
      </w:r>
      <w:r w:rsidR="007C525A">
        <w:t>-</w:t>
      </w:r>
      <w:r w:rsidRPr="00543CF2">
        <w:t>quality care.</w:t>
      </w:r>
    </w:p>
    <w:p w14:paraId="0CF66B5A" w14:textId="3F7F0355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 xml:space="preserve">To enable patients, </w:t>
      </w:r>
      <w:proofErr w:type="gramStart"/>
      <w:r w:rsidRPr="00543CF2">
        <w:t>clients</w:t>
      </w:r>
      <w:proofErr w:type="gramEnd"/>
      <w:r w:rsidRPr="00543CF2">
        <w:t xml:space="preserve"> and families to make informed decisions about their care.</w:t>
      </w:r>
    </w:p>
    <w:p w14:paraId="6481257F" w14:textId="06AFA029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 xml:space="preserve">To </w:t>
      </w:r>
      <w:proofErr w:type="spellStart"/>
      <w:r w:rsidRPr="00543CF2">
        <w:t>maximise</w:t>
      </w:r>
      <w:proofErr w:type="spellEnd"/>
      <w:r w:rsidRPr="00543CF2">
        <w:t xml:space="preserve"> patient and client outcomes.</w:t>
      </w:r>
    </w:p>
    <w:p w14:paraId="4988761E" w14:textId="1A9FF4ED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>To facilitate patient and client satisfaction.</w:t>
      </w:r>
    </w:p>
    <w:p w14:paraId="132835D7" w14:textId="0583EC23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 xml:space="preserve">To support the development, </w:t>
      </w:r>
      <w:proofErr w:type="gramStart"/>
      <w:r w:rsidRPr="00543CF2">
        <w:t>evaluation</w:t>
      </w:r>
      <w:proofErr w:type="gramEnd"/>
      <w:r w:rsidRPr="00543CF2">
        <w:t xml:space="preserve"> and ongoing improvement of care.</w:t>
      </w:r>
    </w:p>
    <w:p w14:paraId="6D871994" w14:textId="2C559A49" w:rsidR="00C205A3" w:rsidRDefault="00C205A3" w:rsidP="00C205A3">
      <w:pPr>
        <w:pStyle w:val="ListParagraph"/>
        <w:numPr>
          <w:ilvl w:val="0"/>
          <w:numId w:val="17"/>
        </w:numPr>
      </w:pPr>
      <w:r w:rsidRPr="00543CF2">
        <w:t>To support the fulfilment of clinical governance requirements.</w:t>
      </w:r>
    </w:p>
    <w:p w14:paraId="72ED32DB" w14:textId="6B0CA341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>To promote the delivery of cost-effective care.</w:t>
      </w:r>
    </w:p>
    <w:p w14:paraId="6E744B2C" w14:textId="1F8EB558" w:rsidR="00C205A3" w:rsidRDefault="00C205A3" w:rsidP="00C205A3">
      <w:pPr>
        <w:pStyle w:val="ListParagraph"/>
        <w:numPr>
          <w:ilvl w:val="0"/>
          <w:numId w:val="17"/>
        </w:numPr>
      </w:pPr>
      <w:r w:rsidRPr="00543CF2">
        <w:t xml:space="preserve">To ensure that the ethical, </w:t>
      </w:r>
      <w:proofErr w:type="gramStart"/>
      <w:r w:rsidRPr="00543CF2">
        <w:t>moral</w:t>
      </w:r>
      <w:proofErr w:type="gramEnd"/>
      <w:r w:rsidRPr="00543CF2">
        <w:t xml:space="preserve"> and professional responsibilities of nurses and midwives are addressed.</w:t>
      </w:r>
    </w:p>
    <w:p w14:paraId="7E74CEB7" w14:textId="40CFAF16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>To reduce the risk of litigation for individual practitioners and the wider service.</w:t>
      </w:r>
    </w:p>
    <w:p w14:paraId="622B4CDF" w14:textId="7A7CA8B8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>To ensure nurses and midwives retain professional identity within the provision of healthcare.</w:t>
      </w:r>
    </w:p>
    <w:p w14:paraId="3230F3BC" w14:textId="1B6190DC" w:rsidR="00C205A3" w:rsidRPr="00543CF2" w:rsidRDefault="00C205A3" w:rsidP="00543CF2">
      <w:pPr>
        <w:pStyle w:val="ListParagraph"/>
        <w:numPr>
          <w:ilvl w:val="0"/>
          <w:numId w:val="17"/>
        </w:numPr>
      </w:pPr>
      <w:r w:rsidRPr="00543CF2">
        <w:t>To facilitate the autonomy of nurses and midwives.</w:t>
      </w:r>
    </w:p>
    <w:p w14:paraId="1B033C48" w14:textId="08FEFEB3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To enable the researcher to fulfil their duty to the participants to disseminate the research findings.</w:t>
      </w:r>
    </w:p>
    <w:p w14:paraId="662C467C" w14:textId="397DC409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To enable the researcher to fulfil any obligation they may have to the research funder and their employer to disseminate the research findings.</w:t>
      </w:r>
    </w:p>
    <w:p w14:paraId="6983FA5F" w14:textId="77777777" w:rsidR="00543CF2" w:rsidRDefault="00543CF2" w:rsidP="00C205A3">
      <w:pPr>
        <w:rPr>
          <w:rFonts w:eastAsia="Calibri"/>
        </w:rPr>
      </w:pPr>
    </w:p>
    <w:p w14:paraId="2C921340" w14:textId="0728F0AC" w:rsidR="00C205A3" w:rsidRDefault="00C205A3" w:rsidP="00C205A3">
      <w:r w:rsidRPr="00543CF2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543CF2">
        <w:t>Suggest 5 different ways in which research findings can be disseminated</w:t>
      </w:r>
      <w:r w:rsidR="00543CF2">
        <w:t>.</w:t>
      </w:r>
    </w:p>
    <w:p w14:paraId="47C41DE9" w14:textId="28F11A52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Publication in journals, including Open Access journals and books</w:t>
      </w:r>
    </w:p>
    <w:p w14:paraId="58B8D6EC" w14:textId="2AF26EAE" w:rsidR="00C205A3" w:rsidRDefault="00C205A3" w:rsidP="00C205A3">
      <w:pPr>
        <w:pStyle w:val="ListParagraph"/>
        <w:numPr>
          <w:ilvl w:val="0"/>
          <w:numId w:val="17"/>
        </w:numPr>
      </w:pPr>
      <w:r w:rsidRPr="00C205A3">
        <w:t>Research reports and summaries</w:t>
      </w:r>
    </w:p>
    <w:p w14:paraId="461A0FCC" w14:textId="318CCA66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Websites and other forms of social media</w:t>
      </w:r>
    </w:p>
    <w:p w14:paraId="70DCECCF" w14:textId="013D85F2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Conference presentations</w:t>
      </w:r>
    </w:p>
    <w:p w14:paraId="6675AA06" w14:textId="3048550E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lastRenderedPageBreak/>
        <w:t>Posters, displayed at conferences and in practice areas</w:t>
      </w:r>
    </w:p>
    <w:p w14:paraId="4B088684" w14:textId="61F3C025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 xml:space="preserve">Lunchtime meetings, seminars, </w:t>
      </w:r>
      <w:proofErr w:type="gramStart"/>
      <w:r w:rsidRPr="00C205A3">
        <w:t>workshops</w:t>
      </w:r>
      <w:proofErr w:type="gramEnd"/>
      <w:r w:rsidRPr="00C205A3">
        <w:t xml:space="preserve"> and teaching sessions</w:t>
      </w:r>
    </w:p>
    <w:p w14:paraId="211D43BB" w14:textId="5F1F2A69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Newsletters, electronic or paper copy</w:t>
      </w:r>
    </w:p>
    <w:p w14:paraId="1EED79DE" w14:textId="0C0976F4" w:rsidR="00C205A3" w:rsidRDefault="00C205A3" w:rsidP="00C205A3">
      <w:pPr>
        <w:pStyle w:val="ListParagraph"/>
        <w:numPr>
          <w:ilvl w:val="0"/>
          <w:numId w:val="17"/>
        </w:numPr>
      </w:pPr>
      <w:r w:rsidRPr="00C205A3">
        <w:t xml:space="preserve">Mainstream media such as magazines, newspapers, </w:t>
      </w:r>
      <w:proofErr w:type="gramStart"/>
      <w:r w:rsidRPr="00C205A3">
        <w:t>radio</w:t>
      </w:r>
      <w:proofErr w:type="gramEnd"/>
      <w:r w:rsidRPr="00C205A3">
        <w:t xml:space="preserve"> and television</w:t>
      </w:r>
    </w:p>
    <w:p w14:paraId="5AA904F2" w14:textId="77777777" w:rsidR="00543CF2" w:rsidRDefault="00543CF2" w:rsidP="00543CF2">
      <w:pPr>
        <w:rPr>
          <w:rFonts w:eastAsia="Calibri"/>
        </w:rPr>
      </w:pPr>
    </w:p>
    <w:p w14:paraId="3015AE05" w14:textId="37AB002F" w:rsidR="00C205A3" w:rsidRDefault="00C205A3" w:rsidP="00543CF2">
      <w:r w:rsidRPr="00543CF2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543CF2">
        <w:t>Suggest 4 benefits for nurses and midwives of having their work</w:t>
      </w:r>
      <w:r w:rsidR="007C525A">
        <w:t>/</w:t>
      </w:r>
      <w:r w:rsidRPr="00543CF2">
        <w:t>research published</w:t>
      </w:r>
      <w:r w:rsidR="00543CF2">
        <w:t>.</w:t>
      </w:r>
    </w:p>
    <w:p w14:paraId="08EEEA35" w14:textId="0826D979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Getting something back for their hard work</w:t>
      </w:r>
    </w:p>
    <w:p w14:paraId="509B9D70" w14:textId="55719D65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Making use of readily available material</w:t>
      </w:r>
    </w:p>
    <w:p w14:paraId="7CF3B5A3" w14:textId="02B00C81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Enhancing their CV and career opportunities</w:t>
      </w:r>
    </w:p>
    <w:p w14:paraId="2C8C3A42" w14:textId="36DC580D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C205A3">
        <w:t>Networking</w:t>
      </w:r>
    </w:p>
    <w:p w14:paraId="1677387C" w14:textId="45234058" w:rsidR="00C205A3" w:rsidRPr="00C205A3" w:rsidRDefault="00C205A3" w:rsidP="00543CF2">
      <w:pPr>
        <w:pStyle w:val="ListParagraph"/>
        <w:numPr>
          <w:ilvl w:val="0"/>
          <w:numId w:val="17"/>
        </w:numPr>
      </w:pPr>
      <w:r w:rsidRPr="00543CF2">
        <w:t>Developing a reputation for interest and expertise in a particular subject area</w:t>
      </w:r>
    </w:p>
    <w:p w14:paraId="7AB1A4CC" w14:textId="27A9B1C5" w:rsidR="0070463C" w:rsidRPr="00543CF2" w:rsidRDefault="00C205A3" w:rsidP="00543CF2">
      <w:pPr>
        <w:pStyle w:val="ListParagraph"/>
        <w:numPr>
          <w:ilvl w:val="0"/>
          <w:numId w:val="17"/>
        </w:numPr>
      </w:pPr>
      <w:r w:rsidRPr="00C205A3">
        <w:t>Payment</w:t>
      </w:r>
    </w:p>
    <w:sectPr w:rsidR="0070463C" w:rsidRPr="00543CF2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FBAD" w14:textId="77777777" w:rsidR="00B81062" w:rsidRDefault="00B81062">
      <w:r>
        <w:separator/>
      </w:r>
    </w:p>
  </w:endnote>
  <w:endnote w:type="continuationSeparator" w:id="0">
    <w:p w14:paraId="45A56DC0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4163" w14:textId="77777777" w:rsidR="00B81062" w:rsidRDefault="00B81062">
      <w:r>
        <w:separator/>
      </w:r>
    </w:p>
  </w:footnote>
  <w:footnote w:type="continuationSeparator" w:id="0">
    <w:p w14:paraId="163F7E1E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D1D3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1FEA77A0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45F2D"/>
    <w:multiLevelType w:val="hybridMultilevel"/>
    <w:tmpl w:val="13F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C5BBD"/>
    <w:multiLevelType w:val="hybridMultilevel"/>
    <w:tmpl w:val="5D32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5C3B"/>
    <w:multiLevelType w:val="hybridMultilevel"/>
    <w:tmpl w:val="2F8C589A"/>
    <w:lvl w:ilvl="0" w:tplc="8D0EFD2C">
      <w:numFmt w:val="bullet"/>
      <w:lvlText w:val="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C2983"/>
    <w:multiLevelType w:val="hybridMultilevel"/>
    <w:tmpl w:val="833A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02281"/>
    <w:multiLevelType w:val="hybridMultilevel"/>
    <w:tmpl w:val="C7F6E684"/>
    <w:lvl w:ilvl="0" w:tplc="8D0EFD2C">
      <w:numFmt w:val="bullet"/>
      <w:lvlText w:val="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0EEE"/>
    <w:multiLevelType w:val="hybridMultilevel"/>
    <w:tmpl w:val="83A82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100C1"/>
    <w:multiLevelType w:val="hybridMultilevel"/>
    <w:tmpl w:val="480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2736"/>
    <w:multiLevelType w:val="hybridMultilevel"/>
    <w:tmpl w:val="5E56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5273950">
    <w:abstractNumId w:val="6"/>
  </w:num>
  <w:num w:numId="2" w16cid:durableId="1173372070">
    <w:abstractNumId w:val="19"/>
  </w:num>
  <w:num w:numId="3" w16cid:durableId="292558688">
    <w:abstractNumId w:val="13"/>
  </w:num>
  <w:num w:numId="4" w16cid:durableId="1714234272">
    <w:abstractNumId w:val="9"/>
  </w:num>
  <w:num w:numId="5" w16cid:durableId="1279290328">
    <w:abstractNumId w:val="11"/>
  </w:num>
  <w:num w:numId="6" w16cid:durableId="2025982542">
    <w:abstractNumId w:val="4"/>
  </w:num>
  <w:num w:numId="7" w16cid:durableId="2103405845">
    <w:abstractNumId w:val="2"/>
  </w:num>
  <w:num w:numId="8" w16cid:durableId="209803193">
    <w:abstractNumId w:val="1"/>
  </w:num>
  <w:num w:numId="9" w16cid:durableId="646664467">
    <w:abstractNumId w:val="0"/>
  </w:num>
  <w:num w:numId="10" w16cid:durableId="107899706">
    <w:abstractNumId w:val="3"/>
  </w:num>
  <w:num w:numId="11" w16cid:durableId="117452179">
    <w:abstractNumId w:val="15"/>
  </w:num>
  <w:num w:numId="12" w16cid:durableId="1088967058">
    <w:abstractNumId w:val="18"/>
  </w:num>
  <w:num w:numId="13" w16cid:durableId="659963489">
    <w:abstractNumId w:val="14"/>
  </w:num>
  <w:num w:numId="14" w16cid:durableId="1284381265">
    <w:abstractNumId w:val="5"/>
  </w:num>
  <w:num w:numId="15" w16cid:durableId="512691562">
    <w:abstractNumId w:val="7"/>
  </w:num>
  <w:num w:numId="16" w16cid:durableId="564073883">
    <w:abstractNumId w:val="16"/>
  </w:num>
  <w:num w:numId="17" w16cid:durableId="1921870104">
    <w:abstractNumId w:val="17"/>
  </w:num>
  <w:num w:numId="18" w16cid:durableId="1671257270">
    <w:abstractNumId w:val="8"/>
  </w:num>
  <w:num w:numId="19" w16cid:durableId="1246497761">
    <w:abstractNumId w:val="12"/>
  </w:num>
  <w:num w:numId="20" w16cid:durableId="1312102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DS3MDQ2MDSzMDZW0lEKTi0uzszPAykwrAUAHMph5ywAAAA="/>
  </w:docVars>
  <w:rsids>
    <w:rsidRoot w:val="00A66E5F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43CF2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7C525A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66E5F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05A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0527F55"/>
  <w15:docId w15:val="{DF05FD1A-9C4B-41B3-8262-319E3A6D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5A3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205A3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205A3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43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0EA7-C2DC-447D-BECC-C7209D3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2010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2021-12-22T07:13:00Z</dcterms:created>
  <dcterms:modified xsi:type="dcterms:W3CDTF">2022-05-27T12:25:00Z</dcterms:modified>
</cp:coreProperties>
</file>