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9B60" w14:textId="77777777" w:rsidR="001C0A59" w:rsidRPr="00001DB2" w:rsidRDefault="001C0A59" w:rsidP="00001DB2">
      <w:pPr>
        <w:pStyle w:val="Title"/>
      </w:pPr>
      <w:r w:rsidRPr="00001DB2">
        <w:t>Activities</w:t>
      </w:r>
    </w:p>
    <w:p w14:paraId="0BC8D502" w14:textId="77777777" w:rsidR="001C0A59" w:rsidRPr="00001DB2" w:rsidRDefault="001C0A59" w:rsidP="00001DB2">
      <w:pPr>
        <w:pStyle w:val="Heading1"/>
      </w:pPr>
      <w:r>
        <w:t>Chapter 24: Using research in clinical practice</w:t>
      </w:r>
    </w:p>
    <w:p w14:paraId="32A069AC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24.1</w:t>
      </w:r>
    </w:p>
    <w:p w14:paraId="34650059" w14:textId="213E38CE" w:rsidR="001C0A59" w:rsidRDefault="001C0A59" w:rsidP="001C0A59">
      <w:r w:rsidRPr="001C0A59">
        <w:t>Think of a practice area that you are familiar with; this could be your current place of work or your most recent placement.</w:t>
      </w:r>
    </w:p>
    <w:p w14:paraId="3DB3AA93" w14:textId="44B37AC0" w:rsidR="001C0A59" w:rsidRDefault="001C0A59" w:rsidP="001C0A59">
      <w:pPr>
        <w:pStyle w:val="ListParagraph"/>
        <w:numPr>
          <w:ilvl w:val="0"/>
          <w:numId w:val="15"/>
        </w:numPr>
      </w:pPr>
      <w:r w:rsidRPr="001C0A59">
        <w:t>Which, if any, of the factors identified by Hunt (1981) apply to the nurses and midwives working in that practice area today?</w:t>
      </w:r>
    </w:p>
    <w:p w14:paraId="30A397C7" w14:textId="77777777" w:rsidR="001C0A59" w:rsidRPr="001C0A59" w:rsidRDefault="001C0A59" w:rsidP="00001DB2">
      <w:pPr>
        <w:pStyle w:val="ListParagraph"/>
        <w:numPr>
          <w:ilvl w:val="0"/>
          <w:numId w:val="15"/>
        </w:numPr>
      </w:pPr>
      <w:r w:rsidRPr="001C0A59">
        <w:t>Why do these factors still apply?</w:t>
      </w:r>
    </w:p>
    <w:p w14:paraId="0F0286FC" w14:textId="01ED59F5" w:rsidR="001C0A59" w:rsidRDefault="001C0A59" w:rsidP="00001DB2">
      <w:pPr>
        <w:pStyle w:val="ListParagraph"/>
        <w:numPr>
          <w:ilvl w:val="0"/>
          <w:numId w:val="15"/>
        </w:numPr>
      </w:pPr>
      <w:r w:rsidRPr="001C0A59">
        <w:t>Are there any other factors that you would add?</w:t>
      </w:r>
    </w:p>
    <w:p w14:paraId="09A0B106" w14:textId="77777777" w:rsidR="00001DB2" w:rsidRPr="001C0A59" w:rsidRDefault="00001DB2" w:rsidP="00001DB2">
      <w:pPr>
        <w:pStyle w:val="ListParagraph"/>
        <w:ind w:left="720"/>
      </w:pPr>
    </w:p>
    <w:p w14:paraId="0D39CEF0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24.2</w:t>
      </w:r>
    </w:p>
    <w:p w14:paraId="7DC48096" w14:textId="76085EE6" w:rsidR="001C0A59" w:rsidRDefault="001C0A59" w:rsidP="00001DB2">
      <w:r w:rsidRPr="001C0A59">
        <w:t xml:space="preserve">Think of a practice area that you know well and make a list of the potential </w:t>
      </w:r>
      <w:proofErr w:type="gramStart"/>
      <w:r w:rsidRPr="001C0A59">
        <w:t>gate-keepers</w:t>
      </w:r>
      <w:proofErr w:type="gramEnd"/>
      <w:r w:rsidRPr="001C0A59">
        <w:t xml:space="preserve"> to the implementation of nursing/midwifery research into that setting.</w:t>
      </w:r>
    </w:p>
    <w:p w14:paraId="3A2D9657" w14:textId="77777777" w:rsidR="00001DB2" w:rsidRPr="001C0A59" w:rsidRDefault="00001DB2" w:rsidP="00001DB2"/>
    <w:p w14:paraId="505D1EAA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24.3</w:t>
      </w:r>
    </w:p>
    <w:p w14:paraId="1F6E31E2" w14:textId="1999AB2D" w:rsidR="001C0A59" w:rsidRDefault="001C0A59" w:rsidP="00001DB2">
      <w:r w:rsidRPr="001C0A59">
        <w:t xml:space="preserve">What are the advantages and disadvantages of someone external to a practice setting leading the implementation of new research findings </w:t>
      </w:r>
      <w:r w:rsidR="00E407B5">
        <w:t xml:space="preserve">in </w:t>
      </w:r>
      <w:r w:rsidRPr="001C0A59">
        <w:t>that clinical area?</w:t>
      </w:r>
    </w:p>
    <w:p w14:paraId="374891A6" w14:textId="77777777" w:rsidR="00001DB2" w:rsidRPr="001C0A59" w:rsidRDefault="00001DB2" w:rsidP="00001DB2"/>
    <w:p w14:paraId="61BA9EB4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24.4</w:t>
      </w:r>
    </w:p>
    <w:p w14:paraId="4F673CAD" w14:textId="77777777" w:rsidR="001C0A59" w:rsidRPr="001C0A59" w:rsidRDefault="001C0A59" w:rsidP="00001DB2">
      <w:r w:rsidRPr="001C0A59">
        <w:t>For a more detailed exploration of the challenges health care professional</w:t>
      </w:r>
      <w:r w:rsidR="00E407B5">
        <w:t>s</w:t>
      </w:r>
      <w:r w:rsidRPr="001C0A59">
        <w:t xml:space="preserve"> face when </w:t>
      </w:r>
      <w:proofErr w:type="spellStart"/>
      <w:r w:rsidRPr="001C0A59">
        <w:t>endeavouring</w:t>
      </w:r>
      <w:proofErr w:type="spellEnd"/>
      <w:r w:rsidRPr="001C0A59">
        <w:t xml:space="preserve"> to implement research findings read the following paper:</w:t>
      </w:r>
    </w:p>
    <w:p w14:paraId="0DCD122C" w14:textId="385F1C97" w:rsidR="001C0A59" w:rsidRDefault="001C0A59" w:rsidP="00001DB2">
      <w:pPr>
        <w:ind w:left="648" w:hanging="360"/>
      </w:pPr>
      <w:r w:rsidRPr="001C0A59">
        <w:t>Kristensen, N. Nymann, C. Konradsen, H. (2016) Implementing research results in clinical practice</w:t>
      </w:r>
      <w:r w:rsidR="001950E6">
        <w:t>–</w:t>
      </w:r>
      <w:r w:rsidRPr="001C0A59">
        <w:t xml:space="preserve">the experiences of healthcare professionals, </w:t>
      </w:r>
      <w:r w:rsidRPr="001C0A59">
        <w:rPr>
          <w:i/>
          <w:iCs/>
        </w:rPr>
        <w:t>BMC Health Services Research,</w:t>
      </w:r>
      <w:r w:rsidRPr="001C0A59">
        <w:t xml:space="preserve"> 16:48 DOI 10.1186/s12913-016-1292-y</w:t>
      </w:r>
    </w:p>
    <w:p w14:paraId="33D8A75F" w14:textId="77777777" w:rsidR="00001DB2" w:rsidRPr="001C0A59" w:rsidRDefault="00001DB2" w:rsidP="00001DB2">
      <w:pPr>
        <w:ind w:left="648" w:hanging="360"/>
      </w:pPr>
    </w:p>
    <w:p w14:paraId="116D4A53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24.5</w:t>
      </w:r>
    </w:p>
    <w:p w14:paraId="456226B5" w14:textId="18073A5F" w:rsidR="001C0A59" w:rsidRDefault="001C0A59" w:rsidP="001C0A59">
      <w:r w:rsidRPr="001C0A59">
        <w:t>Those who may be affected by the implementation of new research findings could include:</w:t>
      </w:r>
    </w:p>
    <w:p w14:paraId="6173D53A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Patients, clients and service users</w:t>
      </w:r>
    </w:p>
    <w:p w14:paraId="33C80C5B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lastRenderedPageBreak/>
        <w:t>Nurses, midwives and other members of the health care team working in the practice setting</w:t>
      </w:r>
    </w:p>
    <w:p w14:paraId="1C8EC352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Relatives and carers of patients and clients</w:t>
      </w:r>
    </w:p>
    <w:p w14:paraId="2BE7E679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Service user groups</w:t>
      </w:r>
    </w:p>
    <w:p w14:paraId="7A8186F2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Managers</w:t>
      </w:r>
    </w:p>
    <w:p w14:paraId="5622EDB2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Budget holders</w:t>
      </w:r>
    </w:p>
    <w:p w14:paraId="1505A234" w14:textId="77777777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Commissioners</w:t>
      </w:r>
    </w:p>
    <w:p w14:paraId="142C64E2" w14:textId="6857068E" w:rsidR="001C0A59" w:rsidRPr="001C0A59" w:rsidRDefault="001C0A59" w:rsidP="00001DB2">
      <w:pPr>
        <w:pStyle w:val="ListParagraph"/>
        <w:numPr>
          <w:ilvl w:val="0"/>
          <w:numId w:val="16"/>
        </w:numPr>
      </w:pPr>
      <w:r w:rsidRPr="001C0A59">
        <w:t>Policymakers</w:t>
      </w:r>
    </w:p>
    <w:p w14:paraId="4456B74C" w14:textId="4957413D" w:rsidR="001C0A59" w:rsidRDefault="001C0A59" w:rsidP="001C0A59">
      <w:pPr>
        <w:ind w:firstLine="360"/>
      </w:pPr>
      <w:r w:rsidRPr="001C0A59">
        <w:t>Make a list of the reasons why these groups may be resistant to the implementation of the new findings. Try to identify at least one reason for each group.</w:t>
      </w:r>
    </w:p>
    <w:p w14:paraId="336EAFE8" w14:textId="77777777" w:rsidR="00001DB2" w:rsidRDefault="00001DB2" w:rsidP="001C0A59">
      <w:pPr>
        <w:ind w:firstLine="360"/>
      </w:pPr>
    </w:p>
    <w:p w14:paraId="4129ADF8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24.6</w:t>
      </w:r>
    </w:p>
    <w:p w14:paraId="68D27EEB" w14:textId="0F3F5D4E" w:rsidR="001C0A59" w:rsidRDefault="001C0A59" w:rsidP="001C0A59">
      <w:r w:rsidRPr="001C0A59">
        <w:t>The following papers explore the impact of middle managers and leaders on the implementation of evidence-based practices:</w:t>
      </w:r>
    </w:p>
    <w:p w14:paraId="57FF5A63" w14:textId="0CEB33C9" w:rsidR="001C0A59" w:rsidRPr="00001DB2" w:rsidRDefault="001C0A59" w:rsidP="00001DB2">
      <w:pPr>
        <w:ind w:left="648" w:hanging="360"/>
        <w:rPr>
          <w:kern w:val="36"/>
          <w:lang w:eastAsia="en-GB"/>
        </w:rPr>
      </w:pPr>
      <w:r w:rsidRPr="001C0A59">
        <w:t xml:space="preserve">De Leo, A. Bayes, S. Butt, J. </w:t>
      </w:r>
      <w:proofErr w:type="spellStart"/>
      <w:r w:rsidRPr="001C0A59">
        <w:t>Bloxsome</w:t>
      </w:r>
      <w:proofErr w:type="spellEnd"/>
      <w:r w:rsidRPr="001C0A59">
        <w:t xml:space="preserve">, D. and Geraghty, S. (2020) </w:t>
      </w:r>
      <w:r w:rsidRPr="001C0A59">
        <w:rPr>
          <w:kern w:val="36"/>
          <w:lang w:eastAsia="en-GB"/>
        </w:rPr>
        <w:t xml:space="preserve">Midwifery leaders’ views on the factors considered crucial to implementing evidence-based practice in clinical areas, </w:t>
      </w:r>
      <w:r w:rsidRPr="001C0A59">
        <w:rPr>
          <w:i/>
          <w:iCs/>
          <w:kern w:val="36"/>
          <w:lang w:eastAsia="en-GB"/>
        </w:rPr>
        <w:t>Women and Birth</w:t>
      </w:r>
      <w:r w:rsidRPr="001C0A59">
        <w:rPr>
          <w:kern w:val="36"/>
          <w:lang w:eastAsia="en-GB"/>
        </w:rPr>
        <w:t>,</w:t>
      </w:r>
      <w:r>
        <w:rPr>
          <w:kern w:val="36"/>
          <w:lang w:eastAsia="en-GB"/>
        </w:rPr>
        <w:t xml:space="preserve"> </w:t>
      </w:r>
      <w:hyperlink r:id="rId8" w:history="1">
        <w:r w:rsidRPr="00001DB2">
          <w:rPr>
            <w:rStyle w:val="Hyperlink"/>
          </w:rPr>
          <w:t>https://doi.org/10.1016/j.wombi.2020.08.013</w:t>
        </w:r>
      </w:hyperlink>
      <w:r>
        <w:rPr>
          <w:rStyle w:val="Hyperlink"/>
        </w:rPr>
        <w:t xml:space="preserve"> </w:t>
      </w:r>
      <w:r w:rsidRPr="00001DB2">
        <w:t xml:space="preserve">Contents </w:t>
      </w:r>
      <w:r w:rsidRPr="001C0A59">
        <w:rPr>
          <w:kern w:val="36"/>
          <w:lang w:eastAsia="en-GB"/>
        </w:rPr>
        <w:t xml:space="preserve">lists available at </w:t>
      </w:r>
      <w:proofErr w:type="spellStart"/>
      <w:r w:rsidRPr="001C0A59">
        <w:rPr>
          <w:kern w:val="36"/>
          <w:lang w:eastAsia="en-GB"/>
        </w:rPr>
        <w:t>ScienceDirectWomen</w:t>
      </w:r>
      <w:proofErr w:type="spellEnd"/>
      <w:r w:rsidRPr="001C0A59">
        <w:rPr>
          <w:kern w:val="36"/>
          <w:lang w:eastAsia="en-GB"/>
        </w:rPr>
        <w:t xml:space="preserve"> and </w:t>
      </w:r>
      <w:proofErr w:type="spellStart"/>
      <w:r w:rsidRPr="001C0A59">
        <w:rPr>
          <w:kern w:val="36"/>
          <w:lang w:eastAsia="en-GB"/>
        </w:rPr>
        <w:t>Birthjournal</w:t>
      </w:r>
      <w:proofErr w:type="spellEnd"/>
      <w:r w:rsidRPr="001C0A59">
        <w:rPr>
          <w:kern w:val="36"/>
          <w:lang w:eastAsia="en-GB"/>
        </w:rPr>
        <w:t xml:space="preserve"> homepage: </w:t>
      </w:r>
      <w:hyperlink r:id="rId9" w:history="1">
        <w:r w:rsidRPr="00001DB2">
          <w:rPr>
            <w:rStyle w:val="Hyperlink"/>
          </w:rPr>
          <w:t>www.elsevier.com/locate/wombi</w:t>
        </w:r>
      </w:hyperlink>
    </w:p>
    <w:p w14:paraId="5437E117" w14:textId="77777777" w:rsidR="001C0A59" w:rsidRPr="00001DB2" w:rsidRDefault="001C0A59" w:rsidP="00001DB2">
      <w:pPr>
        <w:ind w:left="648" w:hanging="360"/>
      </w:pPr>
      <w:r w:rsidRPr="00001DB2">
        <w:t xml:space="preserve">Birken, S. Clary, A. Tabriz, A.A. Turner, K. Meza, R. Zizzi, A. Larson, M. Walker, J. Martin </w:t>
      </w:r>
      <w:proofErr w:type="spellStart"/>
      <w:r w:rsidRPr="00001DB2">
        <w:t>Charns</w:t>
      </w:r>
      <w:proofErr w:type="spellEnd"/>
      <w:r w:rsidRPr="00001DB2">
        <w:t>, M. (2018) Middle managers’ role in implementing</w:t>
      </w:r>
    </w:p>
    <w:p w14:paraId="7EC32344" w14:textId="46AF2CD2" w:rsidR="001C0A59" w:rsidRDefault="001C0A59" w:rsidP="00001DB2">
      <w:pPr>
        <w:ind w:left="648" w:hanging="360"/>
        <w:rPr>
          <w:rStyle w:val="Hyperlink"/>
        </w:rPr>
      </w:pPr>
      <w:r w:rsidRPr="00001DB2">
        <w:t xml:space="preserve">evidence-based practices in healthcare: a systematic review, </w:t>
      </w:r>
      <w:r w:rsidRPr="00001DB2">
        <w:rPr>
          <w:i/>
          <w:iCs/>
        </w:rPr>
        <w:t>Implementation Science</w:t>
      </w:r>
      <w:r w:rsidRPr="00001DB2">
        <w:t xml:space="preserve">, 13:149, </w:t>
      </w:r>
      <w:hyperlink r:id="rId10" w:history="1">
        <w:r w:rsidR="00001DB2" w:rsidRPr="008729A9">
          <w:rPr>
            <w:rStyle w:val="Hyperlink"/>
          </w:rPr>
          <w:t>https://doi.org/10.1186/s13012-018-0843-5</w:t>
        </w:r>
      </w:hyperlink>
    </w:p>
    <w:p w14:paraId="09ABABD8" w14:textId="77777777" w:rsidR="00001DB2" w:rsidRPr="00001DB2" w:rsidRDefault="00001DB2" w:rsidP="00001DB2">
      <w:pPr>
        <w:ind w:left="648" w:hanging="360"/>
        <w:rPr>
          <w:rStyle w:val="Hyperlink"/>
        </w:rPr>
      </w:pPr>
    </w:p>
    <w:p w14:paraId="64B386B5" w14:textId="77777777" w:rsidR="001C0A59" w:rsidRPr="00001DB2" w:rsidRDefault="001C0A59" w:rsidP="00001DB2">
      <w:pPr>
        <w:pStyle w:val="Heading2"/>
        <w:rPr>
          <w:b w:val="0"/>
          <w:bCs w:val="0"/>
        </w:rPr>
      </w:pPr>
      <w:r w:rsidRPr="00001DB2">
        <w:t>Activity 24.7</w:t>
      </w:r>
    </w:p>
    <w:p w14:paraId="5643C424" w14:textId="77777777" w:rsidR="001C0A59" w:rsidRPr="001C0A59" w:rsidRDefault="001C0A59" w:rsidP="00001DB2">
      <w:pPr>
        <w:autoSpaceDE w:val="0"/>
        <w:autoSpaceDN w:val="0"/>
        <w:adjustRightInd w:val="0"/>
      </w:pPr>
      <w:r w:rsidRPr="001C0A59">
        <w:t>The following paper provides an example of the appraisal of clinical practice guidelines:</w:t>
      </w:r>
    </w:p>
    <w:p w14:paraId="24E1F390" w14:textId="77777777" w:rsidR="001C0A59" w:rsidRPr="001C0A59" w:rsidRDefault="001C0A59" w:rsidP="00001DB2">
      <w:pPr>
        <w:ind w:left="648" w:hanging="360"/>
      </w:pPr>
      <w:r w:rsidRPr="001C0A59">
        <w:t>Zhang, P. Lu, Q. Li, H. Wang, W. Li, G. Si, L. and Ding, Y. (2019) The quality of guidelines for diabetic foot ulcers: A critical appraisal using the AGREE II</w:t>
      </w:r>
    </w:p>
    <w:p w14:paraId="2C4C8C3A" w14:textId="33F0BE85" w:rsidR="0070463C" w:rsidRPr="001C0A59" w:rsidRDefault="001C0A59" w:rsidP="00001DB2">
      <w:pPr>
        <w:ind w:left="648" w:hanging="360"/>
      </w:pPr>
      <w:r w:rsidRPr="001C0A59">
        <w:t xml:space="preserve">Instrument, </w:t>
      </w:r>
      <w:proofErr w:type="spellStart"/>
      <w:r w:rsidRPr="001C0A59">
        <w:rPr>
          <w:color w:val="000000"/>
        </w:rPr>
        <w:t>PLoS</w:t>
      </w:r>
      <w:proofErr w:type="spellEnd"/>
      <w:r w:rsidRPr="001C0A59">
        <w:rPr>
          <w:color w:val="000000"/>
        </w:rPr>
        <w:t xml:space="preserve"> ONE 14(9): e0217555. </w:t>
      </w:r>
      <w:hyperlink r:id="rId11" w:history="1">
        <w:r w:rsidRPr="001C0A59">
          <w:rPr>
            <w:rStyle w:val="Hyperlink"/>
            <w:rFonts w:eastAsiaTheme="majorEastAsia"/>
          </w:rPr>
          <w:t>https://doi.org/10.1371/journal.pone.0217555</w:t>
        </w:r>
      </w:hyperlink>
    </w:p>
    <w:sectPr w:rsidR="0070463C" w:rsidRPr="001C0A59" w:rsidSect="00D83A68">
      <w:headerReference w:type="default" r:id="rId12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509D" w14:textId="77777777" w:rsidR="001C0A59" w:rsidRDefault="001C0A59">
      <w:r>
        <w:separator/>
      </w:r>
    </w:p>
  </w:endnote>
  <w:endnote w:type="continuationSeparator" w:id="0">
    <w:p w14:paraId="6B412E0F" w14:textId="77777777" w:rsidR="001C0A59" w:rsidRDefault="001C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F4FA" w14:textId="77777777" w:rsidR="001C0A59" w:rsidRDefault="001C0A59">
      <w:r>
        <w:separator/>
      </w:r>
    </w:p>
  </w:footnote>
  <w:footnote w:type="continuationSeparator" w:id="0">
    <w:p w14:paraId="51397103" w14:textId="77777777" w:rsidR="001C0A59" w:rsidRDefault="001C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0A0A" w14:textId="77777777" w:rsidR="001C0A59" w:rsidRPr="00B81062" w:rsidRDefault="001C0A59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0E3210FB" w14:textId="77777777" w:rsidR="001C0A59" w:rsidRPr="006F059D" w:rsidRDefault="001C0A59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0871"/>
    <w:multiLevelType w:val="hybridMultilevel"/>
    <w:tmpl w:val="F99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F07A1"/>
    <w:multiLevelType w:val="hybridMultilevel"/>
    <w:tmpl w:val="B92A1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D49AA"/>
    <w:multiLevelType w:val="hybridMultilevel"/>
    <w:tmpl w:val="7F6CF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6E03"/>
    <w:multiLevelType w:val="hybridMultilevel"/>
    <w:tmpl w:val="656E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6770">
    <w:abstractNumId w:val="5"/>
  </w:num>
  <w:num w:numId="2" w16cid:durableId="1184900406">
    <w:abstractNumId w:val="13"/>
  </w:num>
  <w:num w:numId="3" w16cid:durableId="1694843224">
    <w:abstractNumId w:val="9"/>
  </w:num>
  <w:num w:numId="4" w16cid:durableId="2133010552">
    <w:abstractNumId w:val="6"/>
  </w:num>
  <w:num w:numId="5" w16cid:durableId="688291373">
    <w:abstractNumId w:val="8"/>
  </w:num>
  <w:num w:numId="6" w16cid:durableId="1408308804">
    <w:abstractNumId w:val="4"/>
  </w:num>
  <w:num w:numId="7" w16cid:durableId="1228104710">
    <w:abstractNumId w:val="2"/>
  </w:num>
  <w:num w:numId="8" w16cid:durableId="1475678992">
    <w:abstractNumId w:val="1"/>
  </w:num>
  <w:num w:numId="9" w16cid:durableId="1625574832">
    <w:abstractNumId w:val="0"/>
  </w:num>
  <w:num w:numId="10" w16cid:durableId="846866060">
    <w:abstractNumId w:val="3"/>
  </w:num>
  <w:num w:numId="11" w16cid:durableId="272636771">
    <w:abstractNumId w:val="11"/>
  </w:num>
  <w:num w:numId="12" w16cid:durableId="1941647558">
    <w:abstractNumId w:val="12"/>
  </w:num>
  <w:num w:numId="13" w16cid:durableId="1352608579">
    <w:abstractNumId w:val="10"/>
  </w:num>
  <w:num w:numId="14" w16cid:durableId="220557259">
    <w:abstractNumId w:val="15"/>
  </w:num>
  <w:num w:numId="15" w16cid:durableId="1099181597">
    <w:abstractNumId w:val="7"/>
  </w:num>
  <w:num w:numId="16" w16cid:durableId="12514273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94"/>
    <w:rsid w:val="00001DB2"/>
    <w:rsid w:val="00024CB8"/>
    <w:rsid w:val="00033437"/>
    <w:rsid w:val="000F388C"/>
    <w:rsid w:val="0015405F"/>
    <w:rsid w:val="0017404C"/>
    <w:rsid w:val="00185227"/>
    <w:rsid w:val="001950E6"/>
    <w:rsid w:val="001A239F"/>
    <w:rsid w:val="001B761C"/>
    <w:rsid w:val="001C0A59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32D94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407B5"/>
    <w:rsid w:val="00E52712"/>
    <w:rsid w:val="00E74418"/>
    <w:rsid w:val="00EC67A7"/>
    <w:rsid w:val="00EC6AC2"/>
    <w:rsid w:val="00F01A6C"/>
    <w:rsid w:val="00F06197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541BE76"/>
  <w15:docId w15:val="{605703B1-75B0-4B66-B73E-E2B318E6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A5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C0A5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C0A59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C0A5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0A59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1TFBox1textfullout">
    <w:name w:val="B1TF Box1 text full out"/>
    <w:basedOn w:val="Normal"/>
    <w:next w:val="Normal"/>
    <w:uiPriority w:val="99"/>
    <w:rsid w:val="001C0A59"/>
    <w:pPr>
      <w:widowControl w:val="0"/>
      <w:autoSpaceDE w:val="0"/>
      <w:autoSpaceDN w:val="0"/>
      <w:adjustRightInd w:val="0"/>
      <w:spacing w:after="240" w:line="480" w:lineRule="auto"/>
      <w:contextualSpacing w:val="0"/>
      <w:jc w:val="both"/>
    </w:pPr>
    <w:rPr>
      <w:color w:val="993300"/>
    </w:rPr>
  </w:style>
  <w:style w:type="character" w:styleId="FollowedHyperlink">
    <w:name w:val="FollowedHyperlink"/>
    <w:basedOn w:val="DefaultParagraphFont"/>
    <w:semiHidden/>
    <w:unhideWhenUsed/>
    <w:rsid w:val="001C0A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1D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wombi.2020.08.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2175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86/s13012-018-0843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evier.com/locate/wo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A493-9457-4428-845A-CEF923C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2979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2021-12-21T06:18:00Z</dcterms:created>
  <dcterms:modified xsi:type="dcterms:W3CDTF">2022-05-27T16:22:00Z</dcterms:modified>
</cp:coreProperties>
</file>