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B29D" w14:textId="78FD918B" w:rsidR="00B81006" w:rsidRPr="00D67F11" w:rsidRDefault="003E63C5" w:rsidP="003062E0">
      <w:pPr>
        <w:spacing w:before="120" w:after="120" w:line="276" w:lineRule="auto"/>
        <w:jc w:val="center"/>
        <w:rPr>
          <w:b/>
          <w:sz w:val="28"/>
          <w:szCs w:val="28"/>
        </w:rPr>
      </w:pPr>
      <w:r w:rsidRPr="00D67F11">
        <w:rPr>
          <w:b/>
          <w:sz w:val="28"/>
          <w:szCs w:val="28"/>
        </w:rPr>
        <w:t xml:space="preserve">Illustrative and </w:t>
      </w:r>
      <w:r w:rsidR="00F945C0" w:rsidRPr="00D67F11">
        <w:rPr>
          <w:b/>
          <w:sz w:val="28"/>
          <w:szCs w:val="28"/>
        </w:rPr>
        <w:t>A</w:t>
      </w:r>
      <w:r w:rsidRPr="00D67F11">
        <w:rPr>
          <w:b/>
          <w:sz w:val="28"/>
          <w:szCs w:val="28"/>
        </w:rPr>
        <w:t xml:space="preserve">nalytic </w:t>
      </w:r>
      <w:r w:rsidR="00F945C0" w:rsidRPr="00D67F11">
        <w:rPr>
          <w:b/>
          <w:sz w:val="28"/>
          <w:szCs w:val="28"/>
        </w:rPr>
        <w:t>Treatment of Data Extracts E</w:t>
      </w:r>
      <w:r w:rsidRPr="00D67F11">
        <w:rPr>
          <w:b/>
          <w:sz w:val="28"/>
          <w:szCs w:val="28"/>
        </w:rPr>
        <w:t>xercise</w:t>
      </w:r>
    </w:p>
    <w:p w14:paraId="546FE8EE" w14:textId="06BBBB0E" w:rsidR="003E63C5" w:rsidRDefault="00AA0734" w:rsidP="003062E0">
      <w:pPr>
        <w:spacing w:before="120" w:after="120" w:line="276" w:lineRule="auto"/>
      </w:pPr>
      <w:r w:rsidRPr="008E49D8">
        <w:t xml:space="preserve">Read the following </w:t>
      </w:r>
      <w:r w:rsidR="003E63C5" w:rsidRPr="008E49D8">
        <w:t>excerpt</w:t>
      </w:r>
      <w:r w:rsidRPr="008E49D8">
        <w:t>s</w:t>
      </w:r>
      <w:r w:rsidR="003E63C5" w:rsidRPr="008E49D8">
        <w:t xml:space="preserve"> from </w:t>
      </w:r>
      <w:r w:rsidRPr="008E49D8">
        <w:t>four</w:t>
      </w:r>
      <w:r w:rsidR="00C778EE" w:rsidRPr="008E49D8">
        <w:t xml:space="preserve"> published</w:t>
      </w:r>
      <w:r w:rsidR="003E63C5" w:rsidRPr="008E49D8">
        <w:t xml:space="preserve"> </w:t>
      </w:r>
      <w:r w:rsidR="00C778EE" w:rsidRPr="008E49D8">
        <w:t>TA paper</w:t>
      </w:r>
      <w:r w:rsidRPr="008E49D8">
        <w:t>s</w:t>
      </w:r>
      <w:r w:rsidR="00312ED4">
        <w:t>. D</w:t>
      </w:r>
      <w:r w:rsidR="003E63C5" w:rsidRPr="008E49D8">
        <w:t xml:space="preserve">ecide </w:t>
      </w:r>
      <w:r w:rsidRPr="008E49D8">
        <w:t>for each excerpt whether</w:t>
      </w:r>
      <w:r w:rsidR="003E63C5" w:rsidRPr="008E49D8">
        <w:t xml:space="preserve"> the data extracts are used illustratively or analytically (or both)</w:t>
      </w:r>
      <w:r w:rsidRPr="008E49D8">
        <w:t xml:space="preserve">. As a quick reminder </w:t>
      </w:r>
      <w:r w:rsidR="00312ED4">
        <w:t>–</w:t>
      </w:r>
      <w:r w:rsidR="00D767DC" w:rsidRPr="008E49D8">
        <w:t xml:space="preserve"> </w:t>
      </w:r>
      <w:r w:rsidRPr="008E49D8">
        <w:t>when extracts are used illustratively, the specific features of the extract are not typically commented on, rather the extract provides a general illustration or example of the analytic claims being made.</w:t>
      </w:r>
      <w:r w:rsidR="00D767DC" w:rsidRPr="008E49D8">
        <w:t xml:space="preserve"> The extract could be replaced with another and the analytic narrative would still ‘work’. </w:t>
      </w:r>
      <w:r w:rsidR="00312ED4">
        <w:t>Indeed</w:t>
      </w:r>
      <w:r w:rsidR="00D767DC" w:rsidRPr="008E49D8">
        <w:t xml:space="preserve">, the extracts could be removed altogether and the analytic narrative would still be </w:t>
      </w:r>
      <w:r w:rsidR="00591CE4">
        <w:t xml:space="preserve">(largely) </w:t>
      </w:r>
      <w:r w:rsidR="00D767DC" w:rsidRPr="008E49D8">
        <w:t>coherent. With illustrative use, the specific feat</w:t>
      </w:r>
      <w:r w:rsidR="00074501" w:rsidRPr="008E49D8">
        <w:t>u</w:t>
      </w:r>
      <w:r w:rsidR="00D767DC" w:rsidRPr="008E49D8">
        <w:t xml:space="preserve">res of an extract </w:t>
      </w:r>
      <w:r w:rsidR="00074501" w:rsidRPr="008E49D8">
        <w:rPr>
          <w:i/>
          <w:iCs/>
        </w:rPr>
        <w:t>are</w:t>
      </w:r>
      <w:r w:rsidR="00074501" w:rsidRPr="008E49D8">
        <w:t xml:space="preserve"> commented on and the analysis is developed through the specific extracts selected for presentation in the report. Reflect on why you think the extracts in a particular excerpt are used illustratively or analytically (or both). What details in the excerpt can you point to as evidence of this?</w:t>
      </w:r>
    </w:p>
    <w:p w14:paraId="73CF6282" w14:textId="77777777" w:rsidR="00312ED4" w:rsidRPr="008E49D8" w:rsidRDefault="00312ED4" w:rsidP="003062E0">
      <w:pPr>
        <w:spacing w:before="120" w:after="120" w:line="276" w:lineRule="auto"/>
      </w:pPr>
    </w:p>
    <w:p w14:paraId="6447DFA1" w14:textId="6C2ADCAF" w:rsidR="003E63C5" w:rsidRPr="008E49D8" w:rsidRDefault="003E63C5" w:rsidP="003062E0">
      <w:pPr>
        <w:spacing w:before="120" w:after="120" w:line="276" w:lineRule="auto"/>
        <w:rPr>
          <w:b/>
        </w:rPr>
      </w:pPr>
      <w:r w:rsidRPr="008E49D8">
        <w:rPr>
          <w:b/>
        </w:rPr>
        <w:t>Ex</w:t>
      </w:r>
      <w:r w:rsidR="003062E0" w:rsidRPr="008E49D8">
        <w:rPr>
          <w:b/>
        </w:rPr>
        <w:t>ample</w:t>
      </w:r>
      <w:r w:rsidRPr="008E49D8">
        <w:rPr>
          <w:b/>
        </w:rPr>
        <w:t xml:space="preserve"> 1</w:t>
      </w:r>
      <w:r w:rsidR="00074501" w:rsidRPr="008E49D8">
        <w:rPr>
          <w:b/>
        </w:rPr>
        <w:t>: Excerpt from</w:t>
      </w:r>
      <w:r w:rsidR="003062E0" w:rsidRPr="008E49D8">
        <w:rPr>
          <w:b/>
        </w:rPr>
        <w:t xml:space="preserve"> an interview study with key informants involved in the development of cervical cancer prevention policy in Aotearoa/New Zealand</w:t>
      </w:r>
    </w:p>
    <w:p w14:paraId="345B1648" w14:textId="2359615D" w:rsidR="00C21D56" w:rsidRPr="008E49D8" w:rsidRDefault="00C21D56" w:rsidP="003062E0">
      <w:pPr>
        <w:spacing w:before="120" w:after="120" w:line="276" w:lineRule="auto"/>
        <w:rPr>
          <w:rFonts w:eastAsia="Times New Roman" w:cs="Times New Roman"/>
          <w:lang w:eastAsia="en-NZ"/>
        </w:rPr>
      </w:pPr>
      <w:r w:rsidRPr="008E49D8">
        <w:rPr>
          <w:rFonts w:eastAsia="Times New Roman" w:cs="Times New Roman"/>
          <w:lang w:eastAsia="en-NZ"/>
        </w:rPr>
        <w:t xml:space="preserve">A number of informants who were supportive of primary prevention </w:t>
      </w:r>
      <w:r w:rsidRPr="008E49D8">
        <w:rPr>
          <w:rFonts w:eastAsia="Times New Roman" w:cs="Times New Roman"/>
          <w:i/>
          <w:lang w:eastAsia="en-NZ"/>
        </w:rPr>
        <w:t>per se</w:t>
      </w:r>
      <w:r w:rsidRPr="008E49D8">
        <w:rPr>
          <w:rFonts w:eastAsia="Times New Roman" w:cs="Times New Roman"/>
          <w:lang w:eastAsia="en-NZ"/>
        </w:rPr>
        <w:t xml:space="preserve"> raised concerns about the adequacy of primary prevention information, and not having interventions which had been </w:t>
      </w:r>
      <w:r w:rsidRPr="008E49D8">
        <w:rPr>
          <w:rFonts w:eastAsia="Times New Roman" w:cs="Times New Roman"/>
          <w:i/>
          <w:lang w:eastAsia="en-NZ"/>
        </w:rPr>
        <w:t>proven</w:t>
      </w:r>
      <w:r w:rsidRPr="008E49D8">
        <w:rPr>
          <w:rFonts w:eastAsia="Times New Roman" w:cs="Times New Roman"/>
          <w:lang w:eastAsia="en-NZ"/>
        </w:rPr>
        <w:t xml:space="preserve"> effective. As one informant suggested,</w:t>
      </w:r>
    </w:p>
    <w:p w14:paraId="25728620" w14:textId="77777777" w:rsidR="00C21D56" w:rsidRPr="008E49D8" w:rsidRDefault="00C21D56" w:rsidP="003062E0">
      <w:pPr>
        <w:spacing w:before="120" w:after="120" w:line="276" w:lineRule="auto"/>
        <w:ind w:left="560" w:right="520"/>
        <w:rPr>
          <w:rFonts w:eastAsia="Times New Roman" w:cs="Times New Roman"/>
          <w:lang w:eastAsia="en-NZ"/>
        </w:rPr>
      </w:pPr>
      <w:r w:rsidRPr="008E49D8">
        <w:rPr>
          <w:rFonts w:eastAsia="Times New Roman" w:cs="Times New Roman"/>
          <w:i/>
          <w:lang w:eastAsia="en-NZ"/>
        </w:rPr>
        <w:t xml:space="preserve">It has to be [a two pronged approach - both primary prevention and screening] to the extent that you’ve got good information for primary prevention </w:t>
      </w:r>
      <w:r w:rsidRPr="008E49D8">
        <w:rPr>
          <w:rFonts w:eastAsia="Times New Roman" w:cs="Times New Roman"/>
          <w:lang w:eastAsia="en-NZ"/>
        </w:rPr>
        <w:t>(Former Policy Analyst, Ministry of Women's Affairs)</w:t>
      </w:r>
    </w:p>
    <w:p w14:paraId="3590356B" w14:textId="12B9A099" w:rsidR="00C21D56" w:rsidRPr="008E49D8" w:rsidRDefault="00C21D56" w:rsidP="003062E0">
      <w:pPr>
        <w:spacing w:before="120" w:after="120" w:line="276" w:lineRule="auto"/>
        <w:ind w:right="4"/>
        <w:rPr>
          <w:rFonts w:eastAsia="Times New Roman" w:cs="Times New Roman"/>
          <w:lang w:eastAsia="en-NZ"/>
        </w:rPr>
      </w:pPr>
      <w:r w:rsidRPr="008E49D8">
        <w:rPr>
          <w:rFonts w:eastAsia="Times New Roman" w:cs="Times New Roman"/>
          <w:lang w:eastAsia="en-NZ"/>
        </w:rPr>
        <w:t>However, scientific/medical information about cervical cancer and primary prevention is complex, sometimes contradictory, and to some extent unclear: Not all experts agree on the 'facts.' Differing interpretations of available data are possible, and may support contradictory positions. Interpretations may be influenced by experience or ideology. For example, data on the efficacy of barrier contraceptives to prevent cervical cancer is to some extent equivocal.</w:t>
      </w:r>
      <w:r w:rsidRPr="008E49D8">
        <w:rPr>
          <w:rFonts w:eastAsia="Times New Roman" w:cs="Times New Roman"/>
          <w:vertAlign w:val="superscript"/>
          <w:lang w:eastAsia="en-NZ"/>
        </w:rPr>
        <w:t>63</w:t>
      </w:r>
      <w:r w:rsidRPr="008E49D8">
        <w:rPr>
          <w:rFonts w:eastAsia="Times New Roman" w:cs="Times New Roman"/>
          <w:lang w:eastAsia="en-NZ"/>
        </w:rPr>
        <w:t xml:space="preserve"> Arising from this ambiguity, some authors have promoted the benefits of barrier contraceptives (specifically condoms),</w:t>
      </w:r>
      <w:r w:rsidRPr="008E49D8">
        <w:rPr>
          <w:rFonts w:eastAsia="Times New Roman" w:cs="Times New Roman"/>
          <w:noProof/>
          <w:vertAlign w:val="superscript"/>
          <w:lang w:eastAsia="en-NZ"/>
        </w:rPr>
        <w:t>6,47,55,64,66</w:t>
      </w:r>
      <w:r w:rsidRPr="008E49D8">
        <w:rPr>
          <w:rFonts w:eastAsia="Times New Roman" w:cs="Times New Roman"/>
          <w:lang w:eastAsia="en-NZ"/>
        </w:rPr>
        <w:t xml:space="preserve"> while others have not.</w:t>
      </w:r>
      <w:r w:rsidRPr="008E49D8">
        <w:rPr>
          <w:rFonts w:eastAsia="Times New Roman" w:cs="Times New Roman"/>
          <w:noProof/>
          <w:vertAlign w:val="superscript"/>
          <w:lang w:eastAsia="en-NZ"/>
        </w:rPr>
        <w:t xml:space="preserve"> </w:t>
      </w:r>
      <w:r w:rsidRPr="008E49D8">
        <w:rPr>
          <w:rFonts w:eastAsia="Times New Roman" w:cs="Times New Roman"/>
          <w:vertAlign w:val="superscript"/>
          <w:lang w:eastAsia="en-NZ"/>
        </w:rPr>
        <w:t>67</w:t>
      </w:r>
      <w:r w:rsidRPr="008E49D8">
        <w:rPr>
          <w:rFonts w:eastAsia="Times New Roman" w:cs="Times New Roman"/>
          <w:lang w:eastAsia="en-NZ"/>
        </w:rPr>
        <w:t xml:space="preserve"> Given this situation, the concept of 'good information' on which to base primary prevention becomes more problematic. (See Braun.</w:t>
      </w:r>
      <w:r w:rsidRPr="008E49D8">
        <w:rPr>
          <w:rFonts w:eastAsia="Times New Roman" w:cs="Times New Roman"/>
          <w:noProof/>
          <w:vertAlign w:val="superscript"/>
          <w:lang w:eastAsia="en-NZ"/>
        </w:rPr>
        <w:t>46</w:t>
      </w:r>
      <w:r w:rsidRPr="008E49D8">
        <w:rPr>
          <w:rFonts w:eastAsia="Times New Roman" w:cs="Times New Roman"/>
          <w:lang w:eastAsia="en-NZ"/>
        </w:rPr>
        <w:t>)</w:t>
      </w:r>
    </w:p>
    <w:p w14:paraId="785E21C2" w14:textId="7652BEA8" w:rsidR="00C21D56" w:rsidRPr="008E49D8" w:rsidRDefault="00C21D56" w:rsidP="003062E0">
      <w:pPr>
        <w:spacing w:before="120" w:after="120" w:line="276" w:lineRule="auto"/>
        <w:rPr>
          <w:rFonts w:eastAsia="Times New Roman" w:cs="Times New Roman"/>
          <w:lang w:eastAsia="en-NZ"/>
        </w:rPr>
      </w:pPr>
      <w:r w:rsidRPr="008E49D8">
        <w:rPr>
          <w:rFonts w:eastAsia="Times New Roman" w:cs="Times New Roman"/>
          <w:lang w:eastAsia="en-NZ"/>
        </w:rPr>
        <w:t>While many informants were (generally) supportive of primary prevention for cervical cancer, others were cautiously supportive or unsupportive. For example,</w:t>
      </w:r>
    </w:p>
    <w:p w14:paraId="4E421227" w14:textId="77777777" w:rsidR="00C21D56" w:rsidRPr="008E49D8" w:rsidRDefault="00C21D56" w:rsidP="003062E0">
      <w:pPr>
        <w:spacing w:before="120" w:after="120" w:line="276" w:lineRule="auto"/>
        <w:ind w:left="560" w:right="520"/>
        <w:rPr>
          <w:rFonts w:eastAsia="Times New Roman" w:cs="Times New Roman"/>
          <w:i/>
          <w:lang w:eastAsia="en-NZ"/>
        </w:rPr>
      </w:pPr>
      <w:r w:rsidRPr="008E49D8">
        <w:rPr>
          <w:rFonts w:eastAsia="Times New Roman" w:cs="Times New Roman"/>
          <w:i/>
          <w:lang w:eastAsia="en-NZ"/>
        </w:rPr>
        <w:t xml:space="preserve">There's been some discussion about whether, as a method of primary prevention, women shouldn't be advised to, for example, start having sexual intercourse later in life, limiting sexual partners, and whether or not cervical cancer shouldn't be included among one of the concerns in terms of sexually transmitted diseases.  I personally feel very strongly that this is not an appropriate approach to cervical cancer.  I feel that.  When it comes to what we can currently do in terms of cervical screening </w:t>
      </w:r>
      <w:r w:rsidRPr="008E49D8">
        <w:rPr>
          <w:rFonts w:eastAsia="Times New Roman" w:cs="Times New Roman"/>
          <w:lang w:eastAsia="en-NZ"/>
        </w:rPr>
        <w:t>(Cancer Society Spokesperson)</w:t>
      </w:r>
      <w:r w:rsidRPr="008E49D8">
        <w:rPr>
          <w:rFonts w:eastAsia="Times New Roman" w:cs="Times New Roman"/>
          <w:i/>
          <w:lang w:eastAsia="en-NZ"/>
        </w:rPr>
        <w:t xml:space="preserve"> </w:t>
      </w:r>
    </w:p>
    <w:p w14:paraId="57BF339D" w14:textId="77777777" w:rsidR="00C21D56" w:rsidRPr="008E49D8" w:rsidRDefault="00C21D56" w:rsidP="003062E0">
      <w:pPr>
        <w:spacing w:before="120" w:after="120" w:line="276" w:lineRule="auto"/>
        <w:ind w:left="560" w:right="520"/>
        <w:rPr>
          <w:rFonts w:eastAsia="Times New Roman" w:cs="Times New Roman"/>
          <w:i/>
          <w:lang w:eastAsia="en-NZ"/>
        </w:rPr>
      </w:pPr>
      <w:r w:rsidRPr="008E49D8">
        <w:rPr>
          <w:rFonts w:eastAsia="Times New Roman" w:cs="Times New Roman"/>
          <w:i/>
          <w:lang w:eastAsia="en-NZ"/>
        </w:rPr>
        <w:t xml:space="preserve">In terms of prevention strategies for cervical cancer there is still really only one which we fall back on which is regular routine cervical screening </w:t>
      </w:r>
      <w:r w:rsidRPr="008E49D8">
        <w:rPr>
          <w:rFonts w:eastAsia="Times New Roman" w:cs="Times New Roman"/>
          <w:lang w:eastAsia="en-NZ"/>
        </w:rPr>
        <w:t>(Clinical Director, Auckland Sexual Health Service)</w:t>
      </w:r>
    </w:p>
    <w:p w14:paraId="5D2BF8E2" w14:textId="5F693242" w:rsidR="00C21D56" w:rsidRPr="008E49D8" w:rsidRDefault="00C21D56" w:rsidP="003062E0">
      <w:pPr>
        <w:spacing w:before="120" w:after="120" w:line="276" w:lineRule="auto"/>
        <w:rPr>
          <w:rFonts w:eastAsia="Times New Roman" w:cs="Times New Roman"/>
          <w:lang w:eastAsia="en-NZ"/>
        </w:rPr>
      </w:pPr>
      <w:r w:rsidRPr="008E49D8">
        <w:rPr>
          <w:rFonts w:eastAsia="Times New Roman" w:cs="Times New Roman"/>
          <w:lang w:eastAsia="en-NZ"/>
        </w:rPr>
        <w:lastRenderedPageBreak/>
        <w:t>These arguments against primary prevention make reference to the pragmatic advantages of screening: The informants cite the efficacy of cervical screening, and potential negative effects that primary prevention approaches might have on this, as a reason for why primary prevention was not a necessary, or even desirable, approach.</w:t>
      </w:r>
    </w:p>
    <w:p w14:paraId="49E66DE3" w14:textId="77777777" w:rsidR="003062E0" w:rsidRPr="008E49D8" w:rsidRDefault="00C21D56" w:rsidP="003062E0">
      <w:pPr>
        <w:spacing w:before="120" w:after="120" w:line="276" w:lineRule="auto"/>
        <w:rPr>
          <w:rFonts w:eastAsia="Times New Roman" w:cs="Segoe UI"/>
          <w:lang w:val="en-NZ" w:eastAsia="en-GB"/>
        </w:rPr>
      </w:pPr>
      <w:r w:rsidRPr="008E49D8">
        <w:rPr>
          <w:rFonts w:eastAsia="Times New Roman" w:cs="Times New Roman"/>
          <w:b/>
          <w:lang w:val="en-NZ" w:eastAsia="en-GB"/>
        </w:rPr>
        <w:t>Source</w:t>
      </w:r>
      <w:r w:rsidR="003E63C5" w:rsidRPr="008E49D8">
        <w:rPr>
          <w:rFonts w:eastAsia="Times New Roman" w:cs="Times New Roman"/>
          <w:b/>
          <w:lang w:val="en-NZ" w:eastAsia="en-GB"/>
        </w:rPr>
        <w:t>:</w:t>
      </w:r>
      <w:r w:rsidR="003E63C5" w:rsidRPr="008E49D8">
        <w:rPr>
          <w:rFonts w:eastAsia="Times New Roman" w:cs="Times New Roman"/>
          <w:lang w:val="en-NZ" w:eastAsia="en-GB"/>
        </w:rPr>
        <w:t xml:space="preserve"> </w:t>
      </w:r>
      <w:r w:rsidR="003E63C5" w:rsidRPr="008E49D8">
        <w:rPr>
          <w:rFonts w:eastAsia="Times New Roman" w:cs="Segoe UI"/>
          <w:lang w:val="en-NZ" w:eastAsia="en-GB"/>
        </w:rPr>
        <w:t xml:space="preserve">Braun, V. &amp; Gavey, N. (1998). Exploring the possibility of sexual-behavioural primary prevention interventions for cervical cancer. </w:t>
      </w:r>
      <w:r w:rsidR="003E63C5" w:rsidRPr="008E49D8">
        <w:rPr>
          <w:rFonts w:eastAsia="Times New Roman" w:cs="Segoe UI"/>
          <w:i/>
          <w:iCs/>
          <w:lang w:val="en-NZ" w:eastAsia="en-GB"/>
        </w:rPr>
        <w:t>Australian and New Zealand Journal of Public Health, 22</w:t>
      </w:r>
      <w:r w:rsidR="003E63C5" w:rsidRPr="008E49D8">
        <w:rPr>
          <w:rFonts w:eastAsia="Times New Roman" w:cs="Segoe UI"/>
          <w:lang w:val="en-NZ" w:eastAsia="en-GB"/>
        </w:rPr>
        <w:t>, 353-359.</w:t>
      </w:r>
    </w:p>
    <w:p w14:paraId="6985C557" w14:textId="77777777" w:rsidR="003062E0" w:rsidRPr="008E49D8" w:rsidRDefault="003062E0" w:rsidP="003062E0">
      <w:pPr>
        <w:spacing w:before="120" w:after="120" w:line="276" w:lineRule="auto"/>
        <w:rPr>
          <w:rFonts w:eastAsia="Times New Roman" w:cs="Segoe UI"/>
          <w:lang w:val="en-NZ" w:eastAsia="en-GB"/>
        </w:rPr>
      </w:pPr>
    </w:p>
    <w:p w14:paraId="2816B556" w14:textId="28128504" w:rsidR="003E63C5" w:rsidRPr="008E49D8" w:rsidRDefault="003E63C5" w:rsidP="003062E0">
      <w:pPr>
        <w:spacing w:before="120" w:after="120" w:line="276" w:lineRule="auto"/>
        <w:rPr>
          <w:b/>
        </w:rPr>
      </w:pPr>
      <w:r w:rsidRPr="008E49D8">
        <w:rPr>
          <w:b/>
        </w:rPr>
        <w:t>Ex</w:t>
      </w:r>
      <w:r w:rsidR="003062E0" w:rsidRPr="008E49D8">
        <w:rPr>
          <w:b/>
        </w:rPr>
        <w:t>ample</w:t>
      </w:r>
      <w:r w:rsidRPr="008E49D8">
        <w:rPr>
          <w:b/>
        </w:rPr>
        <w:t xml:space="preserve"> 2</w:t>
      </w:r>
      <w:r w:rsidR="003062E0" w:rsidRPr="008E49D8">
        <w:rPr>
          <w:b/>
        </w:rPr>
        <w:t>: Excerpt from a qualitative survey study of views on pubic hair in Aotearoa/New Zealand</w:t>
      </w:r>
    </w:p>
    <w:p w14:paraId="0A37734C" w14:textId="77777777" w:rsidR="003E63C5" w:rsidRPr="008E49D8" w:rsidRDefault="003E63C5" w:rsidP="003062E0">
      <w:pPr>
        <w:spacing w:before="120" w:after="120" w:line="276" w:lineRule="auto"/>
        <w:rPr>
          <w:rFonts w:eastAsia="Times New Roman" w:cs="Times New Roman"/>
          <w:lang w:val="en-NZ" w:eastAsia="en-GB"/>
        </w:rPr>
      </w:pPr>
      <w:r w:rsidRPr="008E49D8">
        <w:rPr>
          <w:rFonts w:eastAsia="Times New Roman" w:cs="Arial"/>
          <w:lang w:val="en-NZ" w:eastAsia="en-GB"/>
        </w:rPr>
        <w:t>Theme 1: Choice. One of the most prominent themes was an endorsement of personal choice around pubic hair—but within limits. Choice was evident throughout the data, both at semantic and at latent levels, and was particularly strongly expressed in relation to questions asking about whether people in general, men, or women should remove pubic hair (questions designed to evoke strong responses) or why they might do it. Some simply expressed the view that what one does with one’s pubic hair is personal choice and left it at that. For example, ‘‘It is a personal decision it’s up to them what they do with it’’ (06</w:t>
      </w:r>
      <w:proofErr w:type="gramStart"/>
      <w:r w:rsidRPr="008E49D8">
        <w:rPr>
          <w:rFonts w:eastAsia="Times New Roman" w:cs="Arial"/>
          <w:lang w:val="en-NZ" w:eastAsia="en-GB"/>
        </w:rPr>
        <w:t>M[</w:t>
      </w:r>
      <w:proofErr w:type="gramEnd"/>
      <w:r w:rsidRPr="008E49D8">
        <w:rPr>
          <w:rFonts w:eastAsia="Times New Roman" w:cs="Arial"/>
          <w:lang w:val="en-NZ" w:eastAsia="en-GB"/>
        </w:rPr>
        <w:t>19]); ‘‘Up to them. Personal preference’’ (34</w:t>
      </w:r>
      <w:proofErr w:type="gramStart"/>
      <w:r w:rsidRPr="008E49D8">
        <w:rPr>
          <w:rFonts w:eastAsia="Times New Roman" w:cs="Arial"/>
          <w:lang w:val="en-NZ" w:eastAsia="en-GB"/>
        </w:rPr>
        <w:t>M[</w:t>
      </w:r>
      <w:proofErr w:type="gramEnd"/>
      <w:r w:rsidRPr="008E49D8">
        <w:rPr>
          <w:rFonts w:eastAsia="Times New Roman" w:cs="Arial"/>
          <w:lang w:val="en-NZ" w:eastAsia="en-GB"/>
        </w:rPr>
        <w:t>22]); ‘‘Only if they want to. Personal choice’’ (10M[37]); ‘‘It is an individual decision’’ (11F[37]); ‘‘Don’t really care, it is up to them’’ (45F[no age given]); and ‘‘I don’t</w:t>
      </w:r>
      <w:r w:rsidR="00AE2C86" w:rsidRPr="008E49D8">
        <w:rPr>
          <w:rFonts w:eastAsia="Times New Roman" w:cs="Arial"/>
          <w:lang w:val="en-NZ" w:eastAsia="en-GB"/>
        </w:rPr>
        <w:t xml:space="preserve"> </w:t>
      </w:r>
      <w:r w:rsidRPr="008E49D8">
        <w:rPr>
          <w:rFonts w:eastAsia="Times New Roman" w:cs="Arial"/>
          <w:lang w:val="en-NZ" w:eastAsia="en-GB"/>
        </w:rPr>
        <w:t>think people should remove pubic hair unless they want to’’</w:t>
      </w:r>
      <w:r w:rsidR="00AE2C86" w:rsidRPr="008E49D8">
        <w:rPr>
          <w:rFonts w:eastAsia="Times New Roman" w:cs="Arial"/>
          <w:lang w:val="en-NZ" w:eastAsia="en-GB"/>
        </w:rPr>
        <w:t xml:space="preserve"> </w:t>
      </w:r>
      <w:r w:rsidRPr="008E49D8">
        <w:rPr>
          <w:rFonts w:eastAsia="Times New Roman" w:cs="Arial"/>
          <w:lang w:val="en-NZ" w:eastAsia="en-GB"/>
        </w:rPr>
        <w:t xml:space="preserve">(30F[41]). Some explicitly framed their position as a </w:t>
      </w:r>
      <w:r w:rsidR="00AE2C86" w:rsidRPr="008E49D8">
        <w:rPr>
          <w:rFonts w:eastAsia="Times New Roman" w:cs="Arial"/>
          <w:lang w:val="en-NZ" w:eastAsia="en-GB"/>
        </w:rPr>
        <w:t xml:space="preserve">non-judgemental </w:t>
      </w:r>
      <w:r w:rsidRPr="008E49D8">
        <w:rPr>
          <w:rFonts w:eastAsia="Times New Roman" w:cs="Arial"/>
          <w:lang w:val="en-NZ" w:eastAsia="en-GB"/>
        </w:rPr>
        <w:t>one: ‘‘I think people should do what they feel</w:t>
      </w:r>
      <w:r w:rsidR="00AE2C86" w:rsidRPr="008E49D8">
        <w:rPr>
          <w:rFonts w:eastAsia="Times New Roman" w:cs="Arial"/>
          <w:lang w:val="en-NZ" w:eastAsia="en-GB"/>
        </w:rPr>
        <w:t xml:space="preserve"> </w:t>
      </w:r>
      <w:r w:rsidRPr="008E49D8">
        <w:rPr>
          <w:rFonts w:eastAsia="Times New Roman" w:cs="Arial"/>
          <w:lang w:val="en-NZ" w:eastAsia="en-GB"/>
        </w:rPr>
        <w:t>is right for them. I don’t judge people either way’’ (53M</w:t>
      </w:r>
      <w:r w:rsidR="00AE2C86" w:rsidRPr="008E49D8">
        <w:rPr>
          <w:rFonts w:eastAsia="Times New Roman" w:cs="Arial"/>
          <w:lang w:val="en-NZ" w:eastAsia="en-GB"/>
        </w:rPr>
        <w:t xml:space="preserve"> </w:t>
      </w:r>
      <w:r w:rsidRPr="008E49D8">
        <w:rPr>
          <w:rFonts w:eastAsia="Times New Roman" w:cs="Arial"/>
          <w:lang w:val="en-NZ" w:eastAsia="en-GB"/>
        </w:rPr>
        <w:t>[32]) and ‘‘[Pubic hair removal is] really up to them. If they</w:t>
      </w:r>
      <w:r w:rsidR="00AE2C86" w:rsidRPr="008E49D8">
        <w:rPr>
          <w:rFonts w:eastAsia="Times New Roman" w:cs="Arial"/>
          <w:lang w:val="en-NZ" w:eastAsia="en-GB"/>
        </w:rPr>
        <w:t xml:space="preserve"> </w:t>
      </w:r>
      <w:r w:rsidRPr="008E49D8">
        <w:rPr>
          <w:rFonts w:eastAsia="Times New Roman" w:cs="Arial"/>
          <w:lang w:val="en-NZ" w:eastAsia="en-GB"/>
        </w:rPr>
        <w:t>think they need to then why not? It does not make any difference</w:t>
      </w:r>
      <w:r w:rsidR="00AE2C86" w:rsidRPr="008E49D8">
        <w:rPr>
          <w:rFonts w:eastAsia="Times New Roman" w:cs="Arial"/>
          <w:lang w:val="en-NZ" w:eastAsia="en-GB"/>
        </w:rPr>
        <w:t xml:space="preserve"> </w:t>
      </w:r>
      <w:r w:rsidRPr="008E49D8">
        <w:rPr>
          <w:rFonts w:eastAsia="Times New Roman" w:cs="Arial"/>
          <w:lang w:val="en-NZ" w:eastAsia="en-GB"/>
        </w:rPr>
        <w:t>from my point of view’’ (48</w:t>
      </w:r>
      <w:proofErr w:type="gramStart"/>
      <w:r w:rsidRPr="008E49D8">
        <w:rPr>
          <w:rFonts w:eastAsia="Times New Roman" w:cs="Arial"/>
          <w:lang w:val="en-NZ" w:eastAsia="en-GB"/>
        </w:rPr>
        <w:t>M[</w:t>
      </w:r>
      <w:proofErr w:type="gramEnd"/>
      <w:r w:rsidRPr="008E49D8">
        <w:rPr>
          <w:rFonts w:eastAsia="Times New Roman" w:cs="Arial"/>
          <w:lang w:val="en-NZ" w:eastAsia="en-GB"/>
        </w:rPr>
        <w:t>23]).</w:t>
      </w:r>
    </w:p>
    <w:p w14:paraId="468B7C1B" w14:textId="77777777" w:rsidR="003E63C5" w:rsidRPr="008E49D8" w:rsidRDefault="003E63C5" w:rsidP="003062E0">
      <w:pPr>
        <w:spacing w:before="120" w:after="120" w:line="276" w:lineRule="auto"/>
        <w:rPr>
          <w:rFonts w:eastAsia="Times New Roman" w:cs="Times New Roman"/>
          <w:lang w:val="en-NZ" w:eastAsia="en-GB"/>
        </w:rPr>
      </w:pPr>
      <w:r w:rsidRPr="008E49D8">
        <w:rPr>
          <w:rFonts w:eastAsia="Times New Roman" w:cs="Arial"/>
          <w:lang w:val="en-NZ" w:eastAsia="en-GB"/>
        </w:rPr>
        <w:t>Responses like these seem to suggest that pubic hair</w:t>
      </w:r>
      <w:r w:rsidR="00C21D56" w:rsidRPr="008E49D8">
        <w:rPr>
          <w:rFonts w:eastAsia="Times New Roman" w:cs="Arial"/>
          <w:lang w:val="en-NZ" w:eastAsia="en-GB"/>
        </w:rPr>
        <w:t xml:space="preserve"> </w:t>
      </w:r>
      <w:r w:rsidRPr="008E49D8">
        <w:rPr>
          <w:rFonts w:eastAsia="Times New Roman" w:cs="Arial"/>
          <w:lang w:val="en-NZ" w:eastAsia="en-GB"/>
        </w:rPr>
        <w:t>removal requires only a straightforward and simple personal</w:t>
      </w:r>
      <w:r w:rsidR="00C21D56" w:rsidRPr="008E49D8">
        <w:rPr>
          <w:rFonts w:eastAsia="Times New Roman" w:cs="Arial"/>
          <w:lang w:val="en-NZ" w:eastAsia="en-GB"/>
        </w:rPr>
        <w:t xml:space="preserve"> </w:t>
      </w:r>
      <w:r w:rsidRPr="008E49D8">
        <w:rPr>
          <w:rFonts w:eastAsia="Times New Roman" w:cs="Arial"/>
          <w:lang w:val="en-NZ" w:eastAsia="en-GB"/>
        </w:rPr>
        <w:t>decision. It is something individuals would simply do if they</w:t>
      </w:r>
      <w:r w:rsidR="00C21D56" w:rsidRPr="008E49D8">
        <w:rPr>
          <w:rFonts w:eastAsia="Times New Roman" w:cs="Arial"/>
          <w:lang w:val="en-NZ" w:eastAsia="en-GB"/>
        </w:rPr>
        <w:t xml:space="preserve"> </w:t>
      </w:r>
      <w:r w:rsidRPr="008E49D8">
        <w:rPr>
          <w:rFonts w:eastAsia="Times New Roman" w:cs="Arial"/>
          <w:lang w:val="en-NZ" w:eastAsia="en-GB"/>
        </w:rPr>
        <w:t>wanted and not do if they did not want. In such responses,</w:t>
      </w:r>
      <w:r w:rsidR="00C21D56" w:rsidRPr="008E49D8">
        <w:rPr>
          <w:rFonts w:eastAsia="Times New Roman" w:cs="Arial"/>
          <w:lang w:val="en-NZ" w:eastAsia="en-GB"/>
        </w:rPr>
        <w:t xml:space="preserve"> </w:t>
      </w:r>
      <w:r w:rsidRPr="008E49D8">
        <w:rPr>
          <w:rFonts w:eastAsia="Times New Roman" w:cs="Arial"/>
          <w:lang w:val="en-NZ" w:eastAsia="en-GB"/>
        </w:rPr>
        <w:t>‘‘choice’’ is rendered straightforward. Because choice was</w:t>
      </w:r>
      <w:r w:rsidR="00C21D56" w:rsidRPr="008E49D8">
        <w:rPr>
          <w:rFonts w:eastAsia="Times New Roman" w:cs="Arial"/>
          <w:lang w:val="en-NZ" w:eastAsia="en-GB"/>
        </w:rPr>
        <w:t xml:space="preserve"> </w:t>
      </w:r>
      <w:r w:rsidRPr="008E49D8">
        <w:rPr>
          <w:rFonts w:eastAsia="Times New Roman" w:cs="Arial"/>
          <w:lang w:val="en-NZ" w:eastAsia="en-GB"/>
        </w:rPr>
        <w:t>applied in this way to advocate both for and against hair</w:t>
      </w:r>
      <w:r w:rsidR="00C21D56" w:rsidRPr="008E49D8">
        <w:rPr>
          <w:rFonts w:eastAsia="Times New Roman" w:cs="Arial"/>
          <w:lang w:val="en-NZ" w:eastAsia="en-GB"/>
        </w:rPr>
        <w:t xml:space="preserve"> </w:t>
      </w:r>
      <w:r w:rsidRPr="008E49D8">
        <w:rPr>
          <w:rFonts w:eastAsia="Times New Roman" w:cs="Arial"/>
          <w:lang w:val="en-NZ" w:eastAsia="en-GB"/>
        </w:rPr>
        <w:t>removal, it appeared that it was the enactment of choice that</w:t>
      </w:r>
      <w:r w:rsidR="00C21D56" w:rsidRPr="008E49D8">
        <w:rPr>
          <w:rFonts w:eastAsia="Times New Roman" w:cs="Arial"/>
          <w:lang w:val="en-NZ" w:eastAsia="en-GB"/>
        </w:rPr>
        <w:t xml:space="preserve"> </w:t>
      </w:r>
      <w:r w:rsidRPr="008E49D8">
        <w:rPr>
          <w:rFonts w:eastAsia="Times New Roman" w:cs="Arial"/>
          <w:lang w:val="en-NZ" w:eastAsia="en-GB"/>
        </w:rPr>
        <w:t>was important, fitting with choice as a fundamental value for</w:t>
      </w:r>
      <w:r w:rsidR="00C21D56" w:rsidRPr="008E49D8">
        <w:rPr>
          <w:rFonts w:eastAsia="Times New Roman" w:cs="Arial"/>
          <w:lang w:val="en-NZ" w:eastAsia="en-GB"/>
        </w:rPr>
        <w:t xml:space="preserve"> </w:t>
      </w:r>
      <w:r w:rsidRPr="008E49D8">
        <w:rPr>
          <w:rFonts w:eastAsia="Times New Roman" w:cs="Arial"/>
          <w:lang w:val="en-NZ" w:eastAsia="en-GB"/>
        </w:rPr>
        <w:t>individuals in contemporary neoliberal Western contexts</w:t>
      </w:r>
      <w:r w:rsidR="00C21D56" w:rsidRPr="008E49D8">
        <w:rPr>
          <w:rFonts w:eastAsia="Times New Roman" w:cs="Arial"/>
          <w:lang w:val="en-NZ" w:eastAsia="en-GB"/>
        </w:rPr>
        <w:t xml:space="preserve"> </w:t>
      </w:r>
      <w:r w:rsidRPr="008E49D8">
        <w:rPr>
          <w:rFonts w:eastAsia="Times New Roman" w:cs="Arial"/>
          <w:lang w:val="en-NZ" w:eastAsia="en-GB"/>
        </w:rPr>
        <w:t>(Gill, 2007), so that they are understood as free agents who</w:t>
      </w:r>
      <w:r w:rsidR="00C21D56" w:rsidRPr="008E49D8">
        <w:rPr>
          <w:rFonts w:eastAsia="Times New Roman" w:cs="Arial"/>
          <w:lang w:val="en-NZ" w:eastAsia="en-GB"/>
        </w:rPr>
        <w:t xml:space="preserve"> </w:t>
      </w:r>
      <w:r w:rsidRPr="008E49D8">
        <w:rPr>
          <w:rFonts w:eastAsia="Times New Roman" w:cs="Arial"/>
          <w:lang w:val="en-NZ" w:eastAsia="en-GB"/>
        </w:rPr>
        <w:t>are free from the pressures of social constraints (e.g., see Gill,</w:t>
      </w:r>
      <w:r w:rsidR="00C21D56" w:rsidRPr="008E49D8">
        <w:rPr>
          <w:rFonts w:eastAsia="Times New Roman" w:cs="Arial"/>
          <w:lang w:val="en-NZ" w:eastAsia="en-GB"/>
        </w:rPr>
        <w:t xml:space="preserve"> </w:t>
      </w:r>
      <w:r w:rsidRPr="008E49D8">
        <w:rPr>
          <w:rFonts w:eastAsia="Times New Roman" w:cs="Arial"/>
          <w:lang w:val="en-NZ" w:eastAsia="en-GB"/>
        </w:rPr>
        <w:t>Henwood, &amp; Mclean, 2005).</w:t>
      </w:r>
    </w:p>
    <w:p w14:paraId="56038BB5" w14:textId="77777777" w:rsidR="003E63C5" w:rsidRPr="008E49D8" w:rsidRDefault="003E63C5" w:rsidP="003062E0">
      <w:pPr>
        <w:spacing w:before="120" w:after="120" w:line="276" w:lineRule="auto"/>
        <w:rPr>
          <w:rFonts w:eastAsia="Times New Roman" w:cs="Times New Roman"/>
          <w:lang w:val="en-NZ" w:eastAsia="en-GB"/>
        </w:rPr>
      </w:pPr>
      <w:r w:rsidRPr="008E49D8">
        <w:rPr>
          <w:rFonts w:eastAsia="Times New Roman" w:cs="Arial"/>
          <w:lang w:val="en-NZ" w:eastAsia="en-GB"/>
        </w:rPr>
        <w:t>At first glance, it might appear that choice acted as a</w:t>
      </w:r>
      <w:r w:rsidR="00C21D56" w:rsidRPr="008E49D8">
        <w:rPr>
          <w:rFonts w:eastAsia="Times New Roman" w:cs="Arial"/>
          <w:lang w:val="en-NZ" w:eastAsia="en-GB"/>
        </w:rPr>
        <w:t xml:space="preserve"> </w:t>
      </w:r>
      <w:r w:rsidRPr="008E49D8">
        <w:rPr>
          <w:rFonts w:eastAsia="Times New Roman" w:cs="Arial"/>
          <w:lang w:val="en-NZ" w:eastAsia="en-GB"/>
        </w:rPr>
        <w:t>bottom-line argument (Edwards, Ashmore, &amp; Potter, 1995).</w:t>
      </w:r>
      <w:r w:rsidR="00C21D56" w:rsidRPr="008E49D8">
        <w:rPr>
          <w:rFonts w:eastAsia="Times New Roman" w:cs="Arial"/>
          <w:lang w:val="en-NZ" w:eastAsia="en-GB"/>
        </w:rPr>
        <w:t xml:space="preserve"> </w:t>
      </w:r>
      <w:r w:rsidRPr="008E49D8">
        <w:rPr>
          <w:rFonts w:eastAsia="Times New Roman" w:cs="Arial"/>
          <w:lang w:val="en-NZ" w:eastAsia="en-GB"/>
        </w:rPr>
        <w:t>However, when this notion of choice was elaborated, it</w:t>
      </w:r>
      <w:r w:rsidR="00C21D56" w:rsidRPr="008E49D8">
        <w:rPr>
          <w:rFonts w:eastAsia="Times New Roman" w:cs="Arial"/>
          <w:lang w:val="en-NZ" w:eastAsia="en-GB"/>
        </w:rPr>
        <w:t xml:space="preserve"> </w:t>
      </w:r>
      <w:r w:rsidRPr="008E49D8">
        <w:rPr>
          <w:rFonts w:eastAsia="Times New Roman" w:cs="Arial"/>
          <w:lang w:val="en-NZ" w:eastAsia="en-GB"/>
        </w:rPr>
        <w:t>became apparent that choice was often constructed in a conditional</w:t>
      </w:r>
      <w:r w:rsidR="00C21D56" w:rsidRPr="008E49D8">
        <w:rPr>
          <w:rFonts w:eastAsia="Times New Roman" w:cs="Arial"/>
          <w:lang w:val="en-NZ" w:eastAsia="en-GB"/>
        </w:rPr>
        <w:t xml:space="preserve"> </w:t>
      </w:r>
      <w:r w:rsidRPr="008E49D8">
        <w:rPr>
          <w:rFonts w:eastAsia="Times New Roman" w:cs="Arial"/>
          <w:lang w:val="en-NZ" w:eastAsia="en-GB"/>
        </w:rPr>
        <w:t>manner: Typically, participants initially identified</w:t>
      </w:r>
      <w:r w:rsidR="00C21D56" w:rsidRPr="008E49D8">
        <w:rPr>
          <w:rFonts w:eastAsia="Times New Roman" w:cs="Arial"/>
          <w:lang w:val="en-NZ" w:eastAsia="en-GB"/>
        </w:rPr>
        <w:t xml:space="preserve"> </w:t>
      </w:r>
      <w:r w:rsidRPr="008E49D8">
        <w:rPr>
          <w:rFonts w:eastAsia="Times New Roman" w:cs="Arial"/>
          <w:lang w:val="en-NZ" w:eastAsia="en-GB"/>
        </w:rPr>
        <w:t>that they supported individual choice, but then did not</w:t>
      </w:r>
      <w:r w:rsidR="00C21D56" w:rsidRPr="008E49D8">
        <w:rPr>
          <w:rFonts w:eastAsia="Times New Roman" w:cs="Arial"/>
          <w:lang w:val="en-NZ" w:eastAsia="en-GB"/>
        </w:rPr>
        <w:t xml:space="preserve"> </w:t>
      </w:r>
      <w:r w:rsidRPr="008E49D8">
        <w:rPr>
          <w:rFonts w:eastAsia="Times New Roman" w:cs="Arial"/>
          <w:lang w:val="en-NZ" w:eastAsia="en-GB"/>
        </w:rPr>
        <w:t>approve if that choice conflicted with the choice of others.</w:t>
      </w:r>
      <w:r w:rsidR="00C21D56" w:rsidRPr="008E49D8">
        <w:rPr>
          <w:rFonts w:eastAsia="Times New Roman" w:cs="Arial"/>
          <w:lang w:val="en-NZ" w:eastAsia="en-GB"/>
        </w:rPr>
        <w:t xml:space="preserve"> </w:t>
      </w:r>
      <w:r w:rsidRPr="008E49D8">
        <w:rPr>
          <w:rFonts w:eastAsia="Times New Roman" w:cs="Arial"/>
          <w:lang w:val="en-NZ" w:eastAsia="en-GB"/>
        </w:rPr>
        <w:t>They used that conflict between different people’s choices</w:t>
      </w:r>
      <w:r w:rsidR="00C21D56" w:rsidRPr="008E49D8">
        <w:rPr>
          <w:rFonts w:eastAsia="Times New Roman" w:cs="Arial"/>
          <w:lang w:val="en-NZ" w:eastAsia="en-GB"/>
        </w:rPr>
        <w:t xml:space="preserve"> </w:t>
      </w:r>
      <w:r w:rsidRPr="008E49D8">
        <w:rPr>
          <w:rFonts w:eastAsia="Times New Roman" w:cs="Arial"/>
          <w:lang w:val="en-NZ" w:eastAsia="en-GB"/>
        </w:rPr>
        <w:t>to advocate for one particular ‘‘choice,’’ which was commonly</w:t>
      </w:r>
      <w:r w:rsidR="00C21D56" w:rsidRPr="008E49D8">
        <w:rPr>
          <w:rFonts w:eastAsia="Times New Roman" w:cs="Arial"/>
          <w:lang w:val="en-NZ" w:eastAsia="en-GB"/>
        </w:rPr>
        <w:t xml:space="preserve"> </w:t>
      </w:r>
      <w:r w:rsidRPr="008E49D8">
        <w:rPr>
          <w:rFonts w:eastAsia="Times New Roman" w:cs="Arial"/>
          <w:lang w:val="en-NZ" w:eastAsia="en-GB"/>
        </w:rPr>
        <w:t>hair removal. For example, ‘‘[It] should be personal</w:t>
      </w:r>
      <w:r w:rsidR="00C21D56" w:rsidRPr="008E49D8">
        <w:rPr>
          <w:rFonts w:eastAsia="Times New Roman" w:cs="Arial"/>
          <w:lang w:val="en-NZ" w:eastAsia="en-GB"/>
        </w:rPr>
        <w:t xml:space="preserve"> </w:t>
      </w:r>
      <w:r w:rsidRPr="008E49D8">
        <w:rPr>
          <w:rFonts w:eastAsia="Times New Roman" w:cs="Arial"/>
          <w:lang w:val="en-NZ" w:eastAsia="en-GB"/>
        </w:rPr>
        <w:t xml:space="preserve">choice—if you </w:t>
      </w:r>
      <w:proofErr w:type="gramStart"/>
      <w:r w:rsidRPr="008E49D8">
        <w:rPr>
          <w:rFonts w:eastAsia="Times New Roman" w:cs="Arial"/>
          <w:lang w:val="en-NZ" w:eastAsia="en-GB"/>
        </w:rPr>
        <w:t>don’t</w:t>
      </w:r>
      <w:proofErr w:type="gramEnd"/>
      <w:r w:rsidRPr="008E49D8">
        <w:rPr>
          <w:rFonts w:eastAsia="Times New Roman" w:cs="Arial"/>
          <w:lang w:val="en-NZ" w:eastAsia="en-GB"/>
        </w:rPr>
        <w:t xml:space="preserve"> want to, you shouldn’t have to—but</w:t>
      </w:r>
      <w:r w:rsidR="00C21D56" w:rsidRPr="008E49D8">
        <w:rPr>
          <w:rFonts w:eastAsia="Times New Roman" w:cs="Arial"/>
          <w:lang w:val="en-NZ" w:eastAsia="en-GB"/>
        </w:rPr>
        <w:t xml:space="preserve"> </w:t>
      </w:r>
      <w:r w:rsidRPr="008E49D8">
        <w:rPr>
          <w:rFonts w:eastAsia="Times New Roman" w:cs="Arial"/>
          <w:lang w:val="en-NZ" w:eastAsia="en-GB"/>
        </w:rPr>
        <w:t>I don’t want to see someone else’s pubic hair hanging out</w:t>
      </w:r>
      <w:r w:rsidR="00C21D56" w:rsidRPr="008E49D8">
        <w:rPr>
          <w:rFonts w:eastAsia="Times New Roman" w:cs="Arial"/>
          <w:lang w:val="en-NZ" w:eastAsia="en-GB"/>
        </w:rPr>
        <w:t xml:space="preserve"> </w:t>
      </w:r>
      <w:r w:rsidRPr="008E49D8">
        <w:rPr>
          <w:rFonts w:eastAsia="Times New Roman" w:cs="Arial"/>
          <w:lang w:val="en-NZ" w:eastAsia="en-GB"/>
        </w:rPr>
        <w:t>of togs [swimwear]!’’ (12</w:t>
      </w:r>
      <w:proofErr w:type="gramStart"/>
      <w:r w:rsidRPr="008E49D8">
        <w:rPr>
          <w:rFonts w:eastAsia="Times New Roman" w:cs="Arial"/>
          <w:lang w:val="en-NZ" w:eastAsia="en-GB"/>
        </w:rPr>
        <w:t>F[</w:t>
      </w:r>
      <w:proofErr w:type="gramEnd"/>
      <w:r w:rsidRPr="008E49D8">
        <w:rPr>
          <w:rFonts w:eastAsia="Times New Roman" w:cs="Arial"/>
          <w:lang w:val="en-NZ" w:eastAsia="en-GB"/>
        </w:rPr>
        <w:t>38]); ‘‘It is up to the individual.</w:t>
      </w:r>
      <w:r w:rsidR="00C21D56" w:rsidRPr="008E49D8">
        <w:rPr>
          <w:rFonts w:eastAsia="Times New Roman" w:cs="Arial"/>
          <w:lang w:val="en-NZ" w:eastAsia="en-GB"/>
        </w:rPr>
        <w:t xml:space="preserve"> </w:t>
      </w:r>
      <w:r w:rsidRPr="008E49D8">
        <w:rPr>
          <w:rFonts w:eastAsia="Times New Roman" w:cs="Arial"/>
          <w:lang w:val="en-NZ" w:eastAsia="en-GB"/>
        </w:rPr>
        <w:t>Except, say, at the beach, if you are wearing togs, pubic hair</w:t>
      </w:r>
      <w:r w:rsidR="00C21D56" w:rsidRPr="008E49D8">
        <w:rPr>
          <w:rFonts w:eastAsia="Times New Roman" w:cs="Arial"/>
          <w:lang w:val="en-NZ" w:eastAsia="en-GB"/>
        </w:rPr>
        <w:t xml:space="preserve"> </w:t>
      </w:r>
      <w:r w:rsidRPr="008E49D8">
        <w:rPr>
          <w:rFonts w:eastAsia="Times New Roman" w:cs="Arial"/>
          <w:lang w:val="en-NZ" w:eastAsia="en-GB"/>
        </w:rPr>
        <w:t>should not be poking out’’ (63</w:t>
      </w:r>
      <w:proofErr w:type="gramStart"/>
      <w:r w:rsidRPr="008E49D8">
        <w:rPr>
          <w:rFonts w:eastAsia="Times New Roman" w:cs="Arial"/>
          <w:lang w:val="en-NZ" w:eastAsia="en-GB"/>
        </w:rPr>
        <w:t>F[</w:t>
      </w:r>
      <w:proofErr w:type="gramEnd"/>
      <w:r w:rsidRPr="008E49D8">
        <w:rPr>
          <w:rFonts w:eastAsia="Times New Roman" w:cs="Arial"/>
          <w:lang w:val="en-NZ" w:eastAsia="en-GB"/>
        </w:rPr>
        <w:t>39]); and ‘‘Again, it’s a personal</w:t>
      </w:r>
      <w:r w:rsidR="00C21D56" w:rsidRPr="008E49D8">
        <w:rPr>
          <w:rFonts w:eastAsia="Times New Roman" w:cs="Arial"/>
          <w:lang w:val="en-NZ" w:eastAsia="en-GB"/>
        </w:rPr>
        <w:t xml:space="preserve"> </w:t>
      </w:r>
      <w:r w:rsidRPr="008E49D8">
        <w:rPr>
          <w:rFonts w:eastAsia="Times New Roman" w:cs="Arial"/>
          <w:lang w:val="en-NZ" w:eastAsia="en-GB"/>
        </w:rPr>
        <w:t>choice and depends on how much hair an individual</w:t>
      </w:r>
      <w:r w:rsidR="00C21D56" w:rsidRPr="008E49D8">
        <w:rPr>
          <w:rFonts w:eastAsia="Times New Roman" w:cs="Arial"/>
          <w:lang w:val="en-NZ" w:eastAsia="en-GB"/>
        </w:rPr>
        <w:t xml:space="preserve"> </w:t>
      </w:r>
      <w:r w:rsidRPr="008E49D8">
        <w:rPr>
          <w:rFonts w:eastAsia="Times New Roman" w:cs="Arial"/>
          <w:lang w:val="en-NZ" w:eastAsia="en-GB"/>
        </w:rPr>
        <w:t>grows. I think most people should groom their pubic areas</w:t>
      </w:r>
      <w:r w:rsidR="00C21D56" w:rsidRPr="008E49D8">
        <w:rPr>
          <w:rFonts w:eastAsia="Times New Roman" w:cs="Arial"/>
          <w:lang w:val="en-NZ" w:eastAsia="en-GB"/>
        </w:rPr>
        <w:t xml:space="preserve"> </w:t>
      </w:r>
      <w:r w:rsidRPr="008E49D8">
        <w:rPr>
          <w:rFonts w:eastAsia="Times New Roman" w:cs="Arial"/>
          <w:lang w:val="en-NZ" w:eastAsia="en-GB"/>
        </w:rPr>
        <w:t>as part of good grooming and hygiene standards’’ (59</w:t>
      </w:r>
      <w:proofErr w:type="gramStart"/>
      <w:r w:rsidRPr="008E49D8">
        <w:rPr>
          <w:rFonts w:eastAsia="Times New Roman" w:cs="Arial"/>
          <w:lang w:val="en-NZ" w:eastAsia="en-GB"/>
        </w:rPr>
        <w:t>F[</w:t>
      </w:r>
      <w:proofErr w:type="gramEnd"/>
      <w:r w:rsidRPr="008E49D8">
        <w:rPr>
          <w:rFonts w:eastAsia="Times New Roman" w:cs="Arial"/>
          <w:lang w:val="en-NZ" w:eastAsia="en-GB"/>
        </w:rPr>
        <w:t>32]).</w:t>
      </w:r>
    </w:p>
    <w:p w14:paraId="42EF31ED" w14:textId="7C193D21" w:rsidR="003E63C5" w:rsidRPr="008E49D8" w:rsidRDefault="00C21D56" w:rsidP="003062E0">
      <w:pPr>
        <w:spacing w:before="120" w:after="120" w:line="276" w:lineRule="auto"/>
        <w:rPr>
          <w:rFonts w:cs="Courier New"/>
        </w:rPr>
      </w:pPr>
      <w:r w:rsidRPr="008F4BD4">
        <w:rPr>
          <w:b/>
        </w:rPr>
        <w:lastRenderedPageBreak/>
        <w:t>Source</w:t>
      </w:r>
      <w:r w:rsidR="003E63C5" w:rsidRPr="008F4BD4">
        <w:rPr>
          <w:b/>
        </w:rPr>
        <w:t>:</w:t>
      </w:r>
      <w:r w:rsidR="003E63C5" w:rsidRPr="008F4BD4">
        <w:t xml:space="preserve"> </w:t>
      </w:r>
      <w:hyperlink r:id="rId6" w:history="1">
        <w:proofErr w:type="spellStart"/>
        <w:r w:rsidR="003E63C5" w:rsidRPr="008F4BD4">
          <w:rPr>
            <w:rStyle w:val="Hyperlink"/>
            <w:rFonts w:cs="Courier New"/>
          </w:rPr>
          <w:t>Tricklebank</w:t>
        </w:r>
        <w:proofErr w:type="spellEnd"/>
        <w:r w:rsidR="003E63C5" w:rsidRPr="008F4BD4">
          <w:rPr>
            <w:rStyle w:val="Hyperlink"/>
            <w:rFonts w:cs="Courier New"/>
          </w:rPr>
          <w:t xml:space="preserve">, G., Braun, V. &amp; Clarke, V. (2013). ‘It shouldn’t stick out from your bikini at the beach’: Meaning, gender, and the hairy/hairless body. </w:t>
        </w:r>
        <w:r w:rsidR="003E63C5" w:rsidRPr="008F4BD4">
          <w:rPr>
            <w:rStyle w:val="Hyperlink"/>
            <w:rFonts w:cs="Courier New"/>
            <w:i/>
          </w:rPr>
          <w:t>Psychology of Women Quarterly</w:t>
        </w:r>
        <w:r w:rsidR="003E63C5" w:rsidRPr="008F4BD4">
          <w:rPr>
            <w:rStyle w:val="Hyperlink"/>
            <w:rFonts w:cs="Courier New"/>
          </w:rPr>
          <w:t xml:space="preserve">, </w:t>
        </w:r>
        <w:r w:rsidR="003E63C5" w:rsidRPr="008F4BD4">
          <w:rPr>
            <w:rStyle w:val="Hyperlink"/>
            <w:rFonts w:cs="Courier New"/>
            <w:i/>
          </w:rPr>
          <w:t>37</w:t>
        </w:r>
        <w:r w:rsidR="003E63C5" w:rsidRPr="008F4BD4">
          <w:rPr>
            <w:rStyle w:val="Hyperlink"/>
            <w:rFonts w:cs="Courier New"/>
          </w:rPr>
          <w:t>(4), 478-493.</w:t>
        </w:r>
      </w:hyperlink>
    </w:p>
    <w:p w14:paraId="6D5B2517" w14:textId="436105B5" w:rsidR="00C21D56" w:rsidRPr="008E49D8" w:rsidRDefault="00C21D56" w:rsidP="003062E0">
      <w:pPr>
        <w:spacing w:before="120" w:after="120" w:line="276" w:lineRule="auto"/>
        <w:rPr>
          <w:rFonts w:cs="Courier New"/>
          <w:b/>
        </w:rPr>
      </w:pPr>
    </w:p>
    <w:p w14:paraId="5CAAD4F2" w14:textId="1D9DE2FA" w:rsidR="000624A5" w:rsidRPr="008E49D8" w:rsidRDefault="00C21D56" w:rsidP="003062E0">
      <w:pPr>
        <w:spacing w:before="120" w:after="120" w:line="276" w:lineRule="auto"/>
        <w:rPr>
          <w:rFonts w:cs="Courier New"/>
          <w:b/>
        </w:rPr>
      </w:pPr>
      <w:r w:rsidRPr="008E49D8">
        <w:rPr>
          <w:rFonts w:cs="Courier New"/>
          <w:b/>
        </w:rPr>
        <w:t>Ex</w:t>
      </w:r>
      <w:r w:rsidR="003062E0" w:rsidRPr="008E49D8">
        <w:rPr>
          <w:rFonts w:cs="Courier New"/>
          <w:b/>
        </w:rPr>
        <w:t>ample</w:t>
      </w:r>
      <w:r w:rsidRPr="008E49D8">
        <w:rPr>
          <w:rFonts w:cs="Courier New"/>
          <w:b/>
        </w:rPr>
        <w:t xml:space="preserve"> 3</w:t>
      </w:r>
      <w:r w:rsidR="003062E0" w:rsidRPr="008E49D8">
        <w:rPr>
          <w:rFonts w:cs="Courier New"/>
          <w:b/>
        </w:rPr>
        <w:t>: Excerpt from an interview study of British men’s experiences of transitioning out of the army</w:t>
      </w:r>
    </w:p>
    <w:p w14:paraId="20B82FD8" w14:textId="77777777" w:rsidR="000624A5" w:rsidRPr="008E49D8" w:rsidRDefault="000624A5" w:rsidP="003062E0">
      <w:pPr>
        <w:spacing w:before="120" w:after="120" w:line="276" w:lineRule="auto"/>
        <w:rPr>
          <w:rFonts w:eastAsia="Times New Roman" w:cs="Times New Roman"/>
          <w:lang w:eastAsia="en-GB"/>
        </w:rPr>
      </w:pPr>
      <w:r w:rsidRPr="008E49D8">
        <w:rPr>
          <w:rFonts w:eastAsia="Times New Roman" w:cs="Times New Roman"/>
          <w:lang w:eastAsia="en-GB"/>
        </w:rPr>
        <w:t xml:space="preserve">The second theme generated from the data was built around the motif of ‘translation.’ Both men described experiencing something akin to culture shock when they moved from the army world to the civilian one, where the rules they had come to rely on to make sense of their worlds seemed to have been turned on their heads, or at least were interpreted differently . Often they framed this in terms similar to that of learning a new language; that a person needed to understand the new context well enough to be able to </w:t>
      </w:r>
      <w:r w:rsidRPr="008E49D8">
        <w:rPr>
          <w:rFonts w:eastAsia="Times New Roman" w:cs="Times New Roman"/>
          <w:i/>
          <w:iCs/>
          <w:lang w:eastAsia="en-GB"/>
        </w:rPr>
        <w:t>translate</w:t>
      </w:r>
      <w:r w:rsidRPr="008E49D8">
        <w:rPr>
          <w:rFonts w:eastAsia="Times New Roman" w:cs="Times New Roman"/>
          <w:lang w:eastAsia="en-GB"/>
        </w:rPr>
        <w:t xml:space="preserve"> their ‘native tongue’ for the benefit of those around them:</w:t>
      </w:r>
    </w:p>
    <w:p w14:paraId="55102279" w14:textId="77777777" w:rsidR="000624A5" w:rsidRPr="008E49D8" w:rsidRDefault="000624A5" w:rsidP="003062E0">
      <w:pPr>
        <w:spacing w:before="120" w:after="120" w:line="276" w:lineRule="auto"/>
        <w:ind w:left="720"/>
        <w:rPr>
          <w:rFonts w:eastAsia="Times New Roman" w:cs="Times New Roman"/>
          <w:lang w:eastAsia="en-GB"/>
        </w:rPr>
      </w:pPr>
      <w:r w:rsidRPr="008E49D8">
        <w:rPr>
          <w:rFonts w:eastAsia="Times New Roman" w:cs="Times New Roman"/>
          <w:i/>
          <w:iCs/>
          <w:lang w:eastAsia="en-GB"/>
        </w:rPr>
        <w:t>And the problem is everything you do in the forces, all the experience you gain, it doesn’t transfer very well to civilian life so you need to sort of adapt all your skills and qualifications into such a way as civilian employers can actually pick up on it and understand (Brian).</w:t>
      </w:r>
    </w:p>
    <w:p w14:paraId="67074DDA" w14:textId="77777777" w:rsidR="000624A5" w:rsidRPr="008E49D8" w:rsidRDefault="000624A5" w:rsidP="003062E0">
      <w:pPr>
        <w:spacing w:before="120" w:after="120" w:line="276" w:lineRule="auto"/>
        <w:rPr>
          <w:rFonts w:eastAsia="Times New Roman" w:cs="Times New Roman"/>
          <w:lang w:eastAsia="en-GB"/>
        </w:rPr>
      </w:pPr>
      <w:r w:rsidRPr="008E49D8">
        <w:rPr>
          <w:rFonts w:eastAsia="Times New Roman" w:cs="Times New Roman"/>
          <w:lang w:eastAsia="en-GB"/>
        </w:rPr>
        <w:t>The disjunction between “everything you do in the forces” and approaches used in the civilian world were identified as the biggest obstacles in Brian’s experience of transitioning out of the army (</w:t>
      </w:r>
      <w:hyperlink r:id="rId7" w:anchor="_ENREF_14" w:tooltip="Verey, 2012 #1193" w:history="1">
        <w:r w:rsidRPr="008E49D8">
          <w:rPr>
            <w:rFonts w:eastAsia="Times New Roman" w:cs="Times New Roman"/>
            <w:lang w:eastAsia="en-GB"/>
          </w:rPr>
          <w:t xml:space="preserve">see also </w:t>
        </w:r>
        <w:proofErr w:type="spellStart"/>
        <w:r w:rsidRPr="008E49D8">
          <w:rPr>
            <w:rFonts w:eastAsia="Times New Roman" w:cs="Times New Roman"/>
            <w:lang w:eastAsia="en-GB"/>
          </w:rPr>
          <w:t>Verey</w:t>
        </w:r>
        <w:proofErr w:type="spellEnd"/>
        <w:r w:rsidRPr="008E49D8">
          <w:rPr>
            <w:rFonts w:eastAsia="Times New Roman" w:cs="Times New Roman"/>
            <w:lang w:eastAsia="en-GB"/>
          </w:rPr>
          <w:t xml:space="preserve"> &amp; Smith, 2012</w:t>
        </w:r>
      </w:hyperlink>
      <w:r w:rsidRPr="008E49D8">
        <w:rPr>
          <w:rFonts w:eastAsia="Times New Roman" w:cs="Times New Roman"/>
          <w:lang w:eastAsia="en-GB"/>
        </w:rPr>
        <w:t>). However, what was evident across the interview was his ability to reflect on this issue and make the changes to his ‘style’ - translating his army honed skills into ones that fit ‘civilian’ life. For instance, he commented:</w:t>
      </w:r>
    </w:p>
    <w:p w14:paraId="1E42927E" w14:textId="77777777" w:rsidR="000624A5" w:rsidRPr="008E49D8" w:rsidRDefault="000624A5" w:rsidP="003062E0">
      <w:pPr>
        <w:spacing w:before="120" w:after="120" w:line="276" w:lineRule="auto"/>
        <w:ind w:left="720"/>
        <w:rPr>
          <w:rFonts w:eastAsia="Times New Roman" w:cs="Times New Roman"/>
          <w:lang w:eastAsia="en-GB"/>
        </w:rPr>
      </w:pPr>
      <w:r w:rsidRPr="008E49D8">
        <w:rPr>
          <w:rFonts w:eastAsia="Times New Roman" w:cs="Times New Roman"/>
          <w:i/>
          <w:iCs/>
          <w:lang w:eastAsia="en-GB"/>
        </w:rPr>
        <w:t>I’ve mellowed to such an extent and I suppose you have to…in such a way to...you have to sort of change your style. A lot of my work, I train people up...my work is training and I’ve had to adapt my training style to be more civilian friendly than in the military (Brian).</w:t>
      </w:r>
    </w:p>
    <w:p w14:paraId="7AFAADA2" w14:textId="7CF89648" w:rsidR="000624A5" w:rsidRPr="008E49D8" w:rsidRDefault="000624A5" w:rsidP="003062E0">
      <w:pPr>
        <w:spacing w:before="120" w:after="120" w:line="276" w:lineRule="auto"/>
        <w:rPr>
          <w:rFonts w:eastAsia="Times New Roman" w:cs="Times New Roman"/>
          <w:lang w:eastAsia="en-GB"/>
        </w:rPr>
      </w:pPr>
      <w:r w:rsidRPr="008E49D8">
        <w:rPr>
          <w:rFonts w:eastAsia="Times New Roman" w:cs="Times New Roman"/>
          <w:lang w:eastAsia="en-GB"/>
        </w:rPr>
        <w:t xml:space="preserve">The relationship between this theme and the previous one is particularly strong in this extract. Here the adaptation in styles is orientated </w:t>
      </w:r>
      <w:r w:rsidRPr="008E49D8">
        <w:rPr>
          <w:rFonts w:eastAsia="Times New Roman" w:cs="Times New Roman"/>
          <w:i/>
          <w:iCs/>
          <w:lang w:eastAsia="en-GB"/>
        </w:rPr>
        <w:t>toward</w:t>
      </w:r>
      <w:r w:rsidRPr="008E49D8">
        <w:rPr>
          <w:rFonts w:eastAsia="Times New Roman" w:cs="Times New Roman"/>
          <w:lang w:eastAsia="en-GB"/>
        </w:rPr>
        <w:t xml:space="preserve"> the civilian style and </w:t>
      </w:r>
      <w:r w:rsidRPr="008E49D8">
        <w:rPr>
          <w:rFonts w:eastAsia="Times New Roman" w:cs="Times New Roman"/>
          <w:i/>
          <w:iCs/>
          <w:lang w:eastAsia="en-GB"/>
        </w:rPr>
        <w:t>away</w:t>
      </w:r>
      <w:r w:rsidRPr="008E49D8">
        <w:rPr>
          <w:rFonts w:eastAsia="Times New Roman" w:cs="Times New Roman"/>
          <w:lang w:eastAsia="en-GB"/>
        </w:rPr>
        <w:t xml:space="preserve"> from the army style. There was a sense that Brian’s army-learnt training style was inherently superior, and simply needed adaptation to be more palatable to his civilian audience (</w:t>
      </w:r>
      <w:hyperlink r:id="rId8" w:anchor="_ENREF_16" w:tooltip="Woodward, 2011 #1201" w:history="1">
        <w:r w:rsidRPr="008E49D8">
          <w:rPr>
            <w:rFonts w:eastAsia="Times New Roman" w:cs="Times New Roman"/>
            <w:lang w:eastAsia="en-GB"/>
          </w:rPr>
          <w:t xml:space="preserve">see also Woodward &amp; </w:t>
        </w:r>
        <w:proofErr w:type="spellStart"/>
        <w:r w:rsidRPr="008E49D8">
          <w:rPr>
            <w:rFonts w:eastAsia="Times New Roman" w:cs="Times New Roman"/>
            <w:lang w:eastAsia="en-GB"/>
          </w:rPr>
          <w:t>Jenkings</w:t>
        </w:r>
        <w:proofErr w:type="spellEnd"/>
        <w:r w:rsidRPr="008E49D8">
          <w:rPr>
            <w:rFonts w:eastAsia="Times New Roman" w:cs="Times New Roman"/>
            <w:lang w:eastAsia="en-GB"/>
          </w:rPr>
          <w:t>, 2011</w:t>
        </w:r>
      </w:hyperlink>
      <w:r w:rsidRPr="008E49D8">
        <w:rPr>
          <w:rFonts w:eastAsia="Times New Roman" w:cs="Times New Roman"/>
          <w:lang w:eastAsia="en-GB"/>
        </w:rPr>
        <w:t>). Following this logic, the need to translate is essential to his success, as taking on board the skills and values of the civilian context was rendered unthinkable</w:t>
      </w:r>
      <w:r w:rsidR="00514487" w:rsidRPr="008E49D8">
        <w:rPr>
          <w:rFonts w:eastAsia="Times New Roman" w:cs="Times New Roman"/>
          <w:lang w:eastAsia="en-GB"/>
        </w:rPr>
        <w:t xml:space="preserve"> [</w:t>
      </w:r>
      <w:r w:rsidRPr="008E49D8">
        <w:rPr>
          <w:rFonts w:eastAsia="Times New Roman" w:cs="Times New Roman"/>
          <w:lang w:eastAsia="en-GB"/>
        </w:rPr>
        <w:t>…</w:t>
      </w:r>
      <w:r w:rsidR="00514487" w:rsidRPr="008E49D8">
        <w:rPr>
          <w:rFonts w:eastAsia="Times New Roman" w:cs="Times New Roman"/>
          <w:lang w:eastAsia="en-GB"/>
        </w:rPr>
        <w:t>]</w:t>
      </w:r>
    </w:p>
    <w:p w14:paraId="31BD4148" w14:textId="14AFC304" w:rsidR="00173320" w:rsidRPr="008E49D8" w:rsidRDefault="00C21D56" w:rsidP="003062E0">
      <w:pPr>
        <w:spacing w:before="120" w:after="120" w:line="276" w:lineRule="auto"/>
        <w:rPr>
          <w:rFonts w:ascii="Times New Roman" w:eastAsia="Times New Roman" w:hAnsi="Times New Roman" w:cs="Times New Roman"/>
          <w:lang w:eastAsia="en-GB"/>
        </w:rPr>
      </w:pPr>
      <w:r w:rsidRPr="008E49D8">
        <w:rPr>
          <w:rFonts w:cs="Courier New"/>
          <w:b/>
        </w:rPr>
        <w:t>Source</w:t>
      </w:r>
      <w:r w:rsidR="000624A5" w:rsidRPr="008E49D8">
        <w:rPr>
          <w:rFonts w:cs="Courier New"/>
          <w:b/>
        </w:rPr>
        <w:t>:</w:t>
      </w:r>
      <w:r w:rsidR="000624A5" w:rsidRPr="008E49D8">
        <w:rPr>
          <w:rFonts w:cs="Courier New"/>
        </w:rPr>
        <w:t xml:space="preserve"> </w:t>
      </w:r>
      <w:r w:rsidR="00173320" w:rsidRPr="008E49D8">
        <w:rPr>
          <w:rFonts w:ascii="Calibri" w:eastAsia="Times New Roman" w:hAnsi="Calibri" w:cs="Times New Roman"/>
          <w:lang w:val="en-NZ" w:eastAsia="en-GB"/>
        </w:rPr>
        <w:t>Terry, G. (201</w:t>
      </w:r>
      <w:r w:rsidR="003062E0" w:rsidRPr="008E49D8">
        <w:rPr>
          <w:rFonts w:ascii="Calibri" w:eastAsia="Times New Roman" w:hAnsi="Calibri" w:cs="Times New Roman"/>
          <w:lang w:val="en-NZ" w:eastAsia="en-GB"/>
        </w:rPr>
        <w:t>6</w:t>
      </w:r>
      <w:r w:rsidR="00173320" w:rsidRPr="008E49D8">
        <w:rPr>
          <w:rFonts w:ascii="Calibri" w:eastAsia="Times New Roman" w:hAnsi="Calibri" w:cs="Times New Roman"/>
          <w:lang w:val="en-NZ" w:eastAsia="en-GB"/>
        </w:rPr>
        <w:t xml:space="preserve">). </w:t>
      </w:r>
      <w:r w:rsidR="00173320" w:rsidRPr="008E49D8">
        <w:rPr>
          <w:rFonts w:ascii="Calibri" w:eastAsia="Times New Roman" w:hAnsi="Calibri" w:cs="Times New Roman"/>
          <w:i/>
          <w:iCs/>
          <w:lang w:val="en-NZ" w:eastAsia="en-GB"/>
        </w:rPr>
        <w:t xml:space="preserve">Doing thematic analysis. </w:t>
      </w:r>
      <w:r w:rsidR="00173320" w:rsidRPr="008E49D8">
        <w:rPr>
          <w:rFonts w:ascii="Calibri" w:eastAsia="Times New Roman" w:hAnsi="Calibri" w:cs="Times New Roman"/>
          <w:lang w:val="en-NZ" w:eastAsia="en-GB"/>
        </w:rPr>
        <w:t xml:space="preserve">In </w:t>
      </w:r>
      <w:r w:rsidR="00173320" w:rsidRPr="008E49D8">
        <w:rPr>
          <w:rFonts w:ascii="Calibri" w:eastAsia="Times New Roman" w:hAnsi="Calibri" w:cs="Times New Roman"/>
          <w:lang w:eastAsia="en-GB"/>
        </w:rPr>
        <w:t xml:space="preserve">Lyons, E. &amp; Coyle, A. (Eds), </w:t>
      </w:r>
      <w:r w:rsidR="00173320" w:rsidRPr="008E49D8">
        <w:rPr>
          <w:rFonts w:ascii="Calibri" w:eastAsia="Times New Roman" w:hAnsi="Calibri" w:cs="Times New Roman"/>
          <w:i/>
          <w:lang w:eastAsia="en-GB"/>
        </w:rPr>
        <w:t>Analysing Qualitative Data in Psychology</w:t>
      </w:r>
      <w:r w:rsidR="00173320" w:rsidRPr="008E49D8">
        <w:rPr>
          <w:rFonts w:ascii="Calibri" w:eastAsia="Times New Roman" w:hAnsi="Calibri" w:cs="Times New Roman"/>
          <w:lang w:eastAsia="en-GB"/>
        </w:rPr>
        <w:t>, 2</w:t>
      </w:r>
      <w:r w:rsidR="00173320" w:rsidRPr="008E49D8">
        <w:rPr>
          <w:rFonts w:ascii="Calibri" w:eastAsia="Times New Roman" w:hAnsi="Calibri" w:cs="Times New Roman"/>
          <w:vertAlign w:val="superscript"/>
          <w:lang w:eastAsia="en-GB"/>
        </w:rPr>
        <w:t>nd</w:t>
      </w:r>
      <w:r w:rsidR="00173320" w:rsidRPr="008E49D8">
        <w:rPr>
          <w:rFonts w:ascii="Calibri" w:eastAsia="Times New Roman" w:hAnsi="Calibri" w:cs="Times New Roman"/>
          <w:lang w:eastAsia="en-GB"/>
        </w:rPr>
        <w:t xml:space="preserve"> ed. London: Sage.</w:t>
      </w:r>
    </w:p>
    <w:p w14:paraId="3A344C73" w14:textId="35D92DBF" w:rsidR="00F54A9B" w:rsidRPr="008E49D8" w:rsidRDefault="00F54A9B" w:rsidP="003062E0">
      <w:pPr>
        <w:spacing w:before="120" w:after="120" w:line="276" w:lineRule="auto"/>
        <w:rPr>
          <w:b/>
        </w:rPr>
      </w:pPr>
    </w:p>
    <w:p w14:paraId="03659B97" w14:textId="036479D0" w:rsidR="00AE280E" w:rsidRPr="008E49D8" w:rsidRDefault="00AE280E" w:rsidP="003062E0">
      <w:pPr>
        <w:spacing w:before="120" w:after="120" w:line="276" w:lineRule="auto"/>
        <w:rPr>
          <w:b/>
        </w:rPr>
      </w:pPr>
      <w:r w:rsidRPr="008E49D8">
        <w:rPr>
          <w:b/>
        </w:rPr>
        <w:t>Ex</w:t>
      </w:r>
      <w:r w:rsidR="003062E0" w:rsidRPr="008E49D8">
        <w:rPr>
          <w:b/>
        </w:rPr>
        <w:t xml:space="preserve">ample </w:t>
      </w:r>
      <w:r w:rsidRPr="008E49D8">
        <w:rPr>
          <w:b/>
        </w:rPr>
        <w:t>4</w:t>
      </w:r>
      <w:r w:rsidR="003062E0" w:rsidRPr="008E49D8">
        <w:rPr>
          <w:b/>
        </w:rPr>
        <w:t xml:space="preserve">: Excerpt from a qualitative survey study of </w:t>
      </w:r>
      <w:r w:rsidR="00C3286E" w:rsidRPr="008E49D8">
        <w:rPr>
          <w:b/>
        </w:rPr>
        <w:t xml:space="preserve">British </w:t>
      </w:r>
      <w:r w:rsidR="003062E0" w:rsidRPr="008E49D8">
        <w:rPr>
          <w:b/>
        </w:rPr>
        <w:t>lesbian and bisexual women’s clothing practices</w:t>
      </w:r>
    </w:p>
    <w:p w14:paraId="6C0EB217" w14:textId="77777777" w:rsidR="00AE280E" w:rsidRPr="008E49D8" w:rsidRDefault="00AE280E" w:rsidP="00514487">
      <w:pPr>
        <w:spacing w:before="120" w:after="120" w:line="276" w:lineRule="auto"/>
        <w:rPr>
          <w:i/>
        </w:rPr>
      </w:pPr>
      <w:r w:rsidRPr="008E49D8">
        <w:t>For the women who were lesbian inside and out, their accounts indicated that they weren’t consciously so, their style was not a performance, an act, they were simply being (and expressing) themselves:</w:t>
      </w:r>
    </w:p>
    <w:p w14:paraId="0AD30C14" w14:textId="77777777" w:rsidR="00AE280E" w:rsidRPr="008E49D8" w:rsidRDefault="00AE280E" w:rsidP="003062E0">
      <w:pPr>
        <w:spacing w:before="120" w:after="120" w:line="276" w:lineRule="auto"/>
        <w:ind w:left="720"/>
        <w:rPr>
          <w:i/>
        </w:rPr>
      </w:pPr>
      <w:r w:rsidRPr="008E49D8">
        <w:rPr>
          <w:i/>
        </w:rPr>
        <w:t>“My hair changed into a lesbian cut before I even realised I was gay so I think it’s a gradual process you don’t often realise is happening.” (British, working class lesbian, aged 19 [P82])</w:t>
      </w:r>
    </w:p>
    <w:p w14:paraId="5D830825" w14:textId="77777777" w:rsidR="00AE280E" w:rsidRPr="008E49D8" w:rsidRDefault="00AE280E" w:rsidP="003062E0">
      <w:pPr>
        <w:spacing w:before="120" w:after="120" w:line="276" w:lineRule="auto"/>
        <w:ind w:left="720"/>
        <w:rPr>
          <w:i/>
        </w:rPr>
      </w:pPr>
      <w:r w:rsidRPr="008E49D8">
        <w:rPr>
          <w:i/>
        </w:rPr>
        <w:lastRenderedPageBreak/>
        <w:t>“I feel fraudulent in feminine clothes and am becoming more butch again because this has always been my natural garb long before I knew I was gay.” (White, middle class lesbian, aged 35 [P78])</w:t>
      </w:r>
    </w:p>
    <w:p w14:paraId="06DC6C14" w14:textId="77777777" w:rsidR="00AE280E" w:rsidRPr="008E49D8" w:rsidRDefault="00AE280E" w:rsidP="003062E0">
      <w:pPr>
        <w:spacing w:before="120" w:after="120" w:line="276" w:lineRule="auto"/>
        <w:ind w:left="720"/>
        <w:rPr>
          <w:i/>
        </w:rPr>
      </w:pPr>
      <w:r w:rsidRPr="008E49D8">
        <w:rPr>
          <w:i/>
        </w:rPr>
        <w:t>“Since a small child I was always the most comfortable in trousers/shorts…” (White, middle class lesbian, aged 50+ [P65])</w:t>
      </w:r>
    </w:p>
    <w:p w14:paraId="512AFFAD" w14:textId="77777777" w:rsidR="00AE280E" w:rsidRPr="008E49D8" w:rsidRDefault="00AE280E" w:rsidP="003062E0">
      <w:pPr>
        <w:spacing w:before="120" w:after="120" w:line="276" w:lineRule="auto"/>
      </w:pPr>
      <w:r w:rsidRPr="008E49D8">
        <w:t xml:space="preserve">Some of these women didn’t label themselves as possessing a masculine, androgynous or ‘dykey’ (visibly lesbian) style or garments but reported somewhat reluctantly that others might: “I guess others would describe it as dykey” (P75); “I guess they are probably ‘lesbian shoes’” (P82). Moreover, their inner dyke often leaked out (note the passive voice in P82’s response - ‘my hair changed’ rather than ‘I changed my hair’) through their styled body before they were ‘consciously aware’ of their sexuality. For the ‘authentic butch’ </w:t>
      </w:r>
      <w:proofErr w:type="spellStart"/>
      <w:r w:rsidRPr="008E49D8">
        <w:t>butchness</w:t>
      </w:r>
      <w:proofErr w:type="spellEnd"/>
      <w:r w:rsidRPr="008E49D8">
        <w:t xml:space="preserve"> was “an unmalleable aspect of the self, so essential that it even preceded their awareness of that label” (Levitt &amp; Hiestand, 2004: 609). In the data quoted above, and other similar extracts, there is a delightful contrast between the authentic and honest, and the dishonest and fake, which highlights the over-riding importance of individual authenticity (Eves, 2004, Hutson, 2010, Levitt &amp; Hiestand, 2004). </w:t>
      </w:r>
    </w:p>
    <w:p w14:paraId="0E812337" w14:textId="160D4CA2" w:rsidR="000624A5" w:rsidRPr="008E49D8" w:rsidRDefault="00AE280E" w:rsidP="003062E0">
      <w:pPr>
        <w:spacing w:before="120" w:after="120" w:line="276" w:lineRule="auto"/>
      </w:pPr>
      <w:r w:rsidRPr="008E49D8">
        <w:rPr>
          <w:rFonts w:eastAsia="Times New Roman" w:cs="Times New Roman"/>
          <w:b/>
          <w:lang w:eastAsia="en-GB"/>
        </w:rPr>
        <w:t>Source</w:t>
      </w:r>
      <w:r w:rsidRPr="008E49D8">
        <w:rPr>
          <w:rFonts w:eastAsia="Times New Roman" w:cs="Times New Roman"/>
          <w:lang w:eastAsia="en-GB"/>
        </w:rPr>
        <w:t xml:space="preserve">: </w:t>
      </w:r>
      <w:r w:rsidRPr="008E49D8">
        <w:t>Clarke, V. &amp; Spence, K. (2013)</w:t>
      </w:r>
      <w:r w:rsidR="003062E0" w:rsidRPr="008E49D8">
        <w:t>.</w:t>
      </w:r>
      <w:r w:rsidRPr="008E49D8">
        <w:t xml:space="preserve"> ‘I am who I am’: </w:t>
      </w:r>
      <w:r w:rsidRPr="008E49D8">
        <w:rPr>
          <w:bCs/>
        </w:rPr>
        <w:t>Navigating norms and the importance of authenticity in lesbian and bisexual women’s accounts of their appearance practices</w:t>
      </w:r>
      <w:r w:rsidRPr="008E49D8">
        <w:t xml:space="preserve">. </w:t>
      </w:r>
      <w:r w:rsidRPr="008E49D8">
        <w:rPr>
          <w:i/>
        </w:rPr>
        <w:t>Psychology &amp; Sexuality, 4</w:t>
      </w:r>
      <w:r w:rsidRPr="008E49D8">
        <w:t>(1), 25-33.</w:t>
      </w:r>
    </w:p>
    <w:sectPr w:rsidR="000624A5" w:rsidRPr="008E49D8" w:rsidSect="00C21D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CFA5" w14:textId="77777777" w:rsidR="00A1373C" w:rsidRDefault="00A1373C" w:rsidP="003E63C5">
      <w:pPr>
        <w:spacing w:after="0" w:line="240" w:lineRule="auto"/>
      </w:pPr>
      <w:r>
        <w:separator/>
      </w:r>
    </w:p>
  </w:endnote>
  <w:endnote w:type="continuationSeparator" w:id="0">
    <w:p w14:paraId="77AFF464" w14:textId="77777777" w:rsidR="00A1373C" w:rsidRDefault="00A1373C" w:rsidP="003E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EA5D" w14:textId="77777777" w:rsidR="00A1373C" w:rsidRDefault="00A1373C" w:rsidP="003E63C5">
      <w:pPr>
        <w:spacing w:after="0" w:line="240" w:lineRule="auto"/>
      </w:pPr>
      <w:r>
        <w:separator/>
      </w:r>
    </w:p>
  </w:footnote>
  <w:footnote w:type="continuationSeparator" w:id="0">
    <w:p w14:paraId="788BF78A" w14:textId="77777777" w:rsidR="00A1373C" w:rsidRDefault="00A1373C" w:rsidP="003E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10A6" w14:textId="26B9C217" w:rsidR="008E49D8" w:rsidRPr="008E49D8" w:rsidRDefault="008E49D8" w:rsidP="008E49D8">
    <w:pPr>
      <w:pStyle w:val="Header"/>
      <w:jc w:val="right"/>
      <w:rPr>
        <w:i/>
        <w:iCs/>
        <w:sz w:val="20"/>
        <w:szCs w:val="20"/>
      </w:rPr>
    </w:pPr>
    <w:r w:rsidRPr="00084EB6">
      <w:rPr>
        <w:i/>
        <w:iCs/>
        <w:sz w:val="20"/>
        <w:szCs w:val="20"/>
      </w:rPr>
      <w:t xml:space="preserve">Braun &amp; Clarke Thematic Analysis: A Practical Guide Companion Website, p. </w:t>
    </w:r>
    <w:r w:rsidRPr="00084EB6">
      <w:rPr>
        <w:i/>
        <w:iCs/>
        <w:sz w:val="20"/>
        <w:szCs w:val="20"/>
      </w:rPr>
      <w:fldChar w:fldCharType="begin"/>
    </w:r>
    <w:r w:rsidRPr="00084EB6">
      <w:rPr>
        <w:i/>
        <w:iCs/>
        <w:sz w:val="20"/>
        <w:szCs w:val="20"/>
      </w:rPr>
      <w:instrText xml:space="preserve"> PAGE   \* MERGEFORMAT </w:instrText>
    </w:r>
    <w:r w:rsidRPr="00084EB6">
      <w:rPr>
        <w:i/>
        <w:iCs/>
        <w:sz w:val="20"/>
        <w:szCs w:val="20"/>
      </w:rPr>
      <w:fldChar w:fldCharType="separate"/>
    </w:r>
    <w:r>
      <w:rPr>
        <w:i/>
        <w:iCs/>
        <w:sz w:val="20"/>
        <w:szCs w:val="20"/>
      </w:rPr>
      <w:t>1</w:t>
    </w:r>
    <w:r w:rsidRPr="00084EB6">
      <w:rPr>
        <w:i/>
        <w:i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A45930-3311-4F82-9230-A30CF1F84545}"/>
    <w:docVar w:name="dgnword-eventsink" w:val="281183568"/>
  </w:docVars>
  <w:rsids>
    <w:rsidRoot w:val="003E63C5"/>
    <w:rsid w:val="000624A5"/>
    <w:rsid w:val="00074501"/>
    <w:rsid w:val="000F7C62"/>
    <w:rsid w:val="00173320"/>
    <w:rsid w:val="00220EA2"/>
    <w:rsid w:val="003062E0"/>
    <w:rsid w:val="00312ED4"/>
    <w:rsid w:val="003E63C5"/>
    <w:rsid w:val="00401C71"/>
    <w:rsid w:val="00451839"/>
    <w:rsid w:val="00514487"/>
    <w:rsid w:val="00591CE4"/>
    <w:rsid w:val="005E2E27"/>
    <w:rsid w:val="0062571D"/>
    <w:rsid w:val="006832C7"/>
    <w:rsid w:val="00855F6E"/>
    <w:rsid w:val="00865540"/>
    <w:rsid w:val="0088158A"/>
    <w:rsid w:val="008E49D8"/>
    <w:rsid w:val="008F4BD4"/>
    <w:rsid w:val="00930811"/>
    <w:rsid w:val="00A1373C"/>
    <w:rsid w:val="00A31A7C"/>
    <w:rsid w:val="00AA0734"/>
    <w:rsid w:val="00AE280E"/>
    <w:rsid w:val="00AE2C86"/>
    <w:rsid w:val="00B21475"/>
    <w:rsid w:val="00B81369"/>
    <w:rsid w:val="00C21D56"/>
    <w:rsid w:val="00C3286E"/>
    <w:rsid w:val="00C778EE"/>
    <w:rsid w:val="00CC24BB"/>
    <w:rsid w:val="00D67F11"/>
    <w:rsid w:val="00D767DC"/>
    <w:rsid w:val="00D80130"/>
    <w:rsid w:val="00F54A9B"/>
    <w:rsid w:val="00F559F5"/>
    <w:rsid w:val="00F9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3EB7"/>
  <w15:docId w15:val="{0A88575B-FA01-43AD-B54D-409C40FE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C5"/>
  </w:style>
  <w:style w:type="paragraph" w:styleId="Footer">
    <w:name w:val="footer"/>
    <w:basedOn w:val="Normal"/>
    <w:link w:val="FooterChar"/>
    <w:uiPriority w:val="99"/>
    <w:unhideWhenUsed/>
    <w:rsid w:val="003E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C5"/>
  </w:style>
  <w:style w:type="character" w:styleId="Hyperlink">
    <w:name w:val="Hyperlink"/>
    <w:basedOn w:val="DefaultParagraphFont"/>
    <w:uiPriority w:val="99"/>
    <w:unhideWhenUsed/>
    <w:rsid w:val="000624A5"/>
    <w:rPr>
      <w:color w:val="0563C1"/>
      <w:u w:val="single"/>
    </w:rPr>
  </w:style>
  <w:style w:type="paragraph" w:styleId="EndnoteText">
    <w:name w:val="endnote text"/>
    <w:basedOn w:val="Normal"/>
    <w:link w:val="EndnoteTextChar"/>
    <w:semiHidden/>
    <w:rsid w:val="00C21D56"/>
    <w:pPr>
      <w:spacing w:after="0" w:line="240" w:lineRule="auto"/>
    </w:pPr>
    <w:rPr>
      <w:rFonts w:ascii="Times" w:eastAsia="Times New Roman" w:hAnsi="Times" w:cs="Times New Roman"/>
      <w:noProof/>
      <w:sz w:val="20"/>
      <w:szCs w:val="20"/>
      <w:lang w:val="en-NZ" w:eastAsia="en-NZ"/>
    </w:rPr>
  </w:style>
  <w:style w:type="character" w:customStyle="1" w:styleId="EndnoteTextChar">
    <w:name w:val="Endnote Text Char"/>
    <w:basedOn w:val="DefaultParagraphFont"/>
    <w:link w:val="EndnoteText"/>
    <w:semiHidden/>
    <w:rsid w:val="00C21D56"/>
    <w:rPr>
      <w:rFonts w:ascii="Times" w:eastAsia="Times New Roman" w:hAnsi="Times" w:cs="Times New Roman"/>
      <w:noProof/>
      <w:sz w:val="20"/>
      <w:szCs w:val="20"/>
      <w:lang w:val="en-NZ" w:eastAsia="en-NZ"/>
    </w:rPr>
  </w:style>
  <w:style w:type="character" w:styleId="EndnoteReference">
    <w:name w:val="endnote reference"/>
    <w:basedOn w:val="DefaultParagraphFont"/>
    <w:semiHidden/>
    <w:rsid w:val="00C21D56"/>
    <w:rPr>
      <w:vertAlign w:val="superscript"/>
    </w:rPr>
  </w:style>
  <w:style w:type="character" w:styleId="UnresolvedMention">
    <w:name w:val="Unresolved Mention"/>
    <w:basedOn w:val="DefaultParagraphFont"/>
    <w:uiPriority w:val="99"/>
    <w:semiHidden/>
    <w:unhideWhenUsed/>
    <w:rsid w:val="008F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4815">
      <w:bodyDiv w:val="1"/>
      <w:marLeft w:val="0"/>
      <w:marRight w:val="0"/>
      <w:marTop w:val="0"/>
      <w:marBottom w:val="0"/>
      <w:divBdr>
        <w:top w:val="none" w:sz="0" w:space="0" w:color="auto"/>
        <w:left w:val="none" w:sz="0" w:space="0" w:color="auto"/>
        <w:bottom w:val="none" w:sz="0" w:space="0" w:color="auto"/>
        <w:right w:val="none" w:sz="0" w:space="0" w:color="auto"/>
      </w:divBdr>
      <w:divsChild>
        <w:div w:id="529420538">
          <w:marLeft w:val="0"/>
          <w:marRight w:val="0"/>
          <w:marTop w:val="0"/>
          <w:marBottom w:val="0"/>
          <w:divBdr>
            <w:top w:val="none" w:sz="0" w:space="0" w:color="auto"/>
            <w:left w:val="none" w:sz="0" w:space="0" w:color="auto"/>
            <w:bottom w:val="none" w:sz="0" w:space="0" w:color="auto"/>
            <w:right w:val="none" w:sz="0" w:space="0" w:color="auto"/>
          </w:divBdr>
        </w:div>
      </w:divsChild>
    </w:div>
    <w:div w:id="1961840276">
      <w:bodyDiv w:val="1"/>
      <w:marLeft w:val="0"/>
      <w:marRight w:val="0"/>
      <w:marTop w:val="0"/>
      <w:marBottom w:val="0"/>
      <w:divBdr>
        <w:top w:val="none" w:sz="0" w:space="0" w:color="auto"/>
        <w:left w:val="none" w:sz="0" w:space="0" w:color="auto"/>
        <w:bottom w:val="none" w:sz="0" w:space="0" w:color="auto"/>
        <w:right w:val="none" w:sz="0" w:space="0" w:color="auto"/>
      </w:divBdr>
      <w:divsChild>
        <w:div w:id="1202551593">
          <w:marLeft w:val="0"/>
          <w:marRight w:val="0"/>
          <w:marTop w:val="0"/>
          <w:marBottom w:val="0"/>
          <w:divBdr>
            <w:top w:val="none" w:sz="0" w:space="0" w:color="auto"/>
            <w:left w:val="none" w:sz="0" w:space="0" w:color="auto"/>
            <w:bottom w:val="none" w:sz="0" w:space="0" w:color="auto"/>
            <w:right w:val="none" w:sz="0" w:space="0" w:color="auto"/>
          </w:divBdr>
        </w:div>
      </w:divsChild>
    </w:div>
    <w:div w:id="2001034629">
      <w:bodyDiv w:val="1"/>
      <w:marLeft w:val="0"/>
      <w:marRight w:val="0"/>
      <w:marTop w:val="0"/>
      <w:marBottom w:val="0"/>
      <w:divBdr>
        <w:top w:val="none" w:sz="0" w:space="0" w:color="auto"/>
        <w:left w:val="none" w:sz="0" w:space="0" w:color="auto"/>
        <w:bottom w:val="none" w:sz="0" w:space="0" w:color="auto"/>
        <w:right w:val="none" w:sz="0" w:space="0" w:color="auto"/>
      </w:divBdr>
      <w:divsChild>
        <w:div w:id="738987963">
          <w:marLeft w:val="0"/>
          <w:marRight w:val="0"/>
          <w:marTop w:val="0"/>
          <w:marBottom w:val="0"/>
          <w:divBdr>
            <w:top w:val="none" w:sz="0" w:space="0" w:color="auto"/>
            <w:left w:val="none" w:sz="0" w:space="0" w:color="auto"/>
            <w:bottom w:val="none" w:sz="0" w:space="0" w:color="auto"/>
            <w:right w:val="none" w:sz="0" w:space="0" w:color="auto"/>
          </w:divBdr>
        </w:div>
      </w:divsChild>
    </w:div>
    <w:div w:id="2008093693">
      <w:bodyDiv w:val="1"/>
      <w:marLeft w:val="0"/>
      <w:marRight w:val="0"/>
      <w:marTop w:val="0"/>
      <w:marBottom w:val="0"/>
      <w:divBdr>
        <w:top w:val="none" w:sz="0" w:space="0" w:color="auto"/>
        <w:left w:val="none" w:sz="0" w:space="0" w:color="auto"/>
        <w:bottom w:val="none" w:sz="0" w:space="0" w:color="auto"/>
        <w:right w:val="none" w:sz="0" w:space="0" w:color="auto"/>
      </w:divBdr>
      <w:divsChild>
        <w:div w:id="174648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we.ac.uk/OWA/?ae=Item&amp;a=Preview&amp;t=IPM.Note&amp;id=RgAAAAD6JLVVjwhMQbXQeibFN6CkBwABPlfJAGipQZZkvv8PcYWHAAAAQOf0AADKU2fWn2UZS7t5sWWVEWONAI3cLwdRAAAJ" TargetMode="External"/><Relationship Id="rId3" Type="http://schemas.openxmlformats.org/officeDocument/2006/relationships/webSettings" Target="webSettings.xml"/><Relationship Id="rId7" Type="http://schemas.openxmlformats.org/officeDocument/2006/relationships/hyperlink" Target="https://owa.uwe.ac.uk/OWA/?ae=Item&amp;a=Preview&amp;t=IPM.Note&amp;id=RgAAAAD6JLVVjwhMQbXQeibFN6CkBwABPlfJAGipQZZkvv8PcYWHAAAAQOf0AADKU2fWn2UZS7t5sWWVEWONAI3cLwdRAA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stoken/rbtfl/HTMDOX5ULB7KCN4OPQZ3A/pdf/10.1177/036168431349295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clarke</dc:creator>
  <cp:lastModifiedBy>Katherine Payne</cp:lastModifiedBy>
  <cp:revision>4</cp:revision>
  <dcterms:created xsi:type="dcterms:W3CDTF">2021-04-26T04:40:00Z</dcterms:created>
  <dcterms:modified xsi:type="dcterms:W3CDTF">2021-06-17T12:40:00Z</dcterms:modified>
</cp:coreProperties>
</file>