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7B2D" w14:textId="77777777" w:rsidR="005276E2" w:rsidRPr="00410783" w:rsidRDefault="005276E2" w:rsidP="00410783">
      <w:pPr>
        <w:pStyle w:val="Title"/>
        <w:rPr>
          <w:lang w:val="en-GB"/>
        </w:rPr>
      </w:pPr>
      <w:r w:rsidRPr="00410783">
        <w:rPr>
          <w:lang w:val="en-GB"/>
        </w:rPr>
        <w:t>Key Note</w:t>
      </w:r>
    </w:p>
    <w:p w14:paraId="7C4369F3" w14:textId="77777777" w:rsidR="005276E2" w:rsidRPr="00410783" w:rsidRDefault="005276E2" w:rsidP="00410783">
      <w:pPr>
        <w:pStyle w:val="Heading1"/>
        <w:rPr>
          <w:lang w:val="en-GB"/>
        </w:rPr>
      </w:pPr>
      <w:r w:rsidRPr="00410783">
        <w:rPr>
          <w:lang w:val="en-GB"/>
        </w:rPr>
        <w:t>Chapter 10: Visual and auditory localisation</w:t>
      </w:r>
    </w:p>
    <w:p w14:paraId="4144922D" w14:textId="5D6735A1" w:rsidR="00F17ED8" w:rsidRPr="00410783" w:rsidRDefault="00F17ED8" w:rsidP="00410783">
      <w:pPr>
        <w:pStyle w:val="Heading2"/>
        <w:rPr>
          <w:lang w:val="en-GB"/>
        </w:rPr>
      </w:pPr>
      <w:proofErr w:type="gramStart"/>
      <w:r w:rsidRPr="00410783">
        <w:rPr>
          <w:lang w:val="en-GB"/>
        </w:rPr>
        <w:t xml:space="preserve">Key </w:t>
      </w:r>
      <w:r w:rsidR="005276E2" w:rsidRPr="00410783">
        <w:rPr>
          <w:lang w:val="en-GB"/>
        </w:rPr>
        <w:t>note</w:t>
      </w:r>
      <w:proofErr w:type="gramEnd"/>
      <w:r w:rsidR="005276E2" w:rsidRPr="00410783">
        <w:rPr>
          <w:lang w:val="en-GB"/>
        </w:rPr>
        <w:t xml:space="preserve"> </w:t>
      </w:r>
      <w:r w:rsidRPr="00410783">
        <w:rPr>
          <w:lang w:val="en-GB"/>
        </w:rPr>
        <w:t>10B</w:t>
      </w:r>
      <w:r w:rsidR="005276E2" w:rsidRPr="00410783">
        <w:rPr>
          <w:lang w:val="en-GB"/>
        </w:rPr>
        <w:t>:</w:t>
      </w:r>
      <w:r w:rsidRPr="00410783">
        <w:rPr>
          <w:lang w:val="en-GB"/>
        </w:rPr>
        <w:t xml:space="preserve"> Angular declination hypothesis – why height in the visual field may sometimes be a useful cue to distance</w:t>
      </w:r>
    </w:p>
    <w:p w14:paraId="2845C762" w14:textId="3AA51889" w:rsidR="00F17ED8" w:rsidRPr="00410783" w:rsidRDefault="00F17ED8" w:rsidP="00410783">
      <w:pPr>
        <w:rPr>
          <w:lang w:val="en-GB"/>
        </w:rPr>
      </w:pPr>
      <w:r w:rsidRPr="00410783">
        <w:rPr>
          <w:lang w:val="en-GB"/>
        </w:rPr>
        <w:t>The aim of this note is to illustrate a suggestion for how ‘</w:t>
      </w:r>
      <w:r w:rsidR="00F709A2" w:rsidRPr="00410783">
        <w:rPr>
          <w:lang w:val="en-GB"/>
        </w:rPr>
        <w:t xml:space="preserve">height </w:t>
      </w:r>
      <w:r w:rsidRPr="00410783">
        <w:rPr>
          <w:lang w:val="en-GB"/>
        </w:rPr>
        <w:t xml:space="preserve">in the </w:t>
      </w:r>
      <w:r w:rsidR="00F709A2" w:rsidRPr="00410783">
        <w:rPr>
          <w:lang w:val="en-GB"/>
        </w:rPr>
        <w:t xml:space="preserve">visual field’ </w:t>
      </w:r>
      <w:r w:rsidRPr="00410783">
        <w:rPr>
          <w:lang w:val="en-GB"/>
        </w:rPr>
        <w:t>might be converted to perceived distance by the visual system, and to note a potential problem.</w:t>
      </w:r>
      <w:r w:rsidR="006873B4" w:rsidRPr="00410783">
        <w:rPr>
          <w:lang w:val="en-GB"/>
        </w:rPr>
        <w:t xml:space="preserve"> </w:t>
      </w:r>
      <w:r w:rsidRPr="00410783">
        <w:rPr>
          <w:lang w:val="en-GB"/>
        </w:rPr>
        <w:t>You can gauge the value of this depth cue by plotting object distance against angular declination, as outlined below.</w:t>
      </w:r>
    </w:p>
    <w:p w14:paraId="25D84858" w14:textId="6DCC6F18" w:rsidR="00F17ED8" w:rsidRPr="00410783" w:rsidRDefault="00F17ED8" w:rsidP="00410783">
      <w:pPr>
        <w:ind w:firstLine="360"/>
        <w:rPr>
          <w:lang w:val="en-GB"/>
        </w:rPr>
      </w:pPr>
      <w:r w:rsidRPr="00410783">
        <w:rPr>
          <w:lang w:val="en-GB"/>
        </w:rPr>
        <w:t>In the book, a study is reported which found that, for objects below the horizon, height in the visual field is a cue to their distance, so that higher objects are perceived as further away.</w:t>
      </w:r>
      <w:r w:rsidR="006873B4" w:rsidRPr="00410783">
        <w:rPr>
          <w:lang w:val="en-GB"/>
        </w:rPr>
        <w:t xml:space="preserve"> </w:t>
      </w:r>
      <w:r w:rsidRPr="00410783">
        <w:rPr>
          <w:lang w:val="en-GB"/>
        </w:rPr>
        <w:t xml:space="preserve">But how could height in the field be used to compute distance? Figure 1 illustrates the </w:t>
      </w:r>
      <w:r w:rsidR="00F709A2" w:rsidRPr="00410783">
        <w:rPr>
          <w:lang w:val="en-GB"/>
        </w:rPr>
        <w:t xml:space="preserve">angular declination </w:t>
      </w:r>
      <w:r w:rsidRPr="00410783">
        <w:rPr>
          <w:lang w:val="en-GB"/>
        </w:rPr>
        <w:t>hypothesis: the angle between eye level and the line of sight to the further object on the ground is smaller than that for the nearer object. The figure also illustrates a hypothesis suggesting how distance could be computed from height in the visual field, namely by dividing eye height by the tangent of the angle between eye level and the line of sight to the object. Ooi et al</w:t>
      </w:r>
      <w:r w:rsidR="00F709A2" w:rsidRPr="00410783">
        <w:rPr>
          <w:lang w:val="en-GB"/>
        </w:rPr>
        <w:t>.</w:t>
      </w:r>
      <w:r w:rsidRPr="00410783">
        <w:rPr>
          <w:lang w:val="en-GB"/>
        </w:rPr>
        <w:t xml:space="preserve"> (2001) tested the theory by having their observers view the scene through base-up prisms, so increasing the apparent angle, and reducing apparent distance. When asked to walk while blindfolded to the apparent location of the distant object, participants traversed smaller distances after viewing through prisms than when viewing without, as the angular declination hypothesis suggests. If the hypothesis is correct, height in the field would provide metrical depth information.</w:t>
      </w:r>
    </w:p>
    <w:p w14:paraId="755C31A8" w14:textId="77777777" w:rsidR="00F17ED8" w:rsidRPr="00410783" w:rsidRDefault="00F17ED8" w:rsidP="00410783">
      <w:pPr>
        <w:rPr>
          <w:lang w:val="en-GB"/>
        </w:rPr>
      </w:pPr>
      <w:r w:rsidRPr="00410783">
        <w:rPr>
          <w:noProof/>
          <w:lang w:val="en-GB"/>
        </w:rPr>
        <w:lastRenderedPageBreak/>
        <w:drawing>
          <wp:inline distT="0" distB="0" distL="0" distR="0" wp14:anchorId="79635B32" wp14:editId="73AE8A24">
            <wp:extent cx="4901184" cy="2386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1184" cy="2386584"/>
                    </a:xfrm>
                    <a:prstGeom prst="rect">
                      <a:avLst/>
                    </a:prstGeom>
                  </pic:spPr>
                </pic:pic>
              </a:graphicData>
            </a:graphic>
          </wp:inline>
        </w:drawing>
      </w:r>
    </w:p>
    <w:p w14:paraId="62E84C50" w14:textId="6729D426" w:rsidR="006873B4" w:rsidRPr="00410783" w:rsidRDefault="00F17ED8" w:rsidP="005276E2">
      <w:pPr>
        <w:ind w:left="360" w:hanging="360"/>
        <w:rPr>
          <w:lang w:val="en-GB"/>
        </w:rPr>
      </w:pPr>
      <w:r w:rsidRPr="00410783">
        <w:rPr>
          <w:b/>
          <w:bCs/>
          <w:lang w:val="en-GB"/>
        </w:rPr>
        <w:t>Figure 1</w:t>
      </w:r>
      <w:r w:rsidRPr="00410783">
        <w:rPr>
          <w:lang w:val="en-GB"/>
        </w:rPr>
        <w:t xml:space="preserve"> Angular declination hypothesis. The observer, whose eyes are at height </w:t>
      </w:r>
      <w:r w:rsidRPr="00410783">
        <w:rPr>
          <w:i/>
          <w:lang w:val="en-GB"/>
        </w:rPr>
        <w:t>h,</w:t>
      </w:r>
      <w:r w:rsidRPr="00410783">
        <w:rPr>
          <w:lang w:val="en-GB"/>
        </w:rPr>
        <w:t xml:space="preserve"> calculates the distance (</w:t>
      </w:r>
      <w:r w:rsidRPr="00410783">
        <w:rPr>
          <w:i/>
          <w:lang w:val="en-GB"/>
        </w:rPr>
        <w:t>d</w:t>
      </w:r>
      <w:r w:rsidRPr="00410783">
        <w:rPr>
          <w:iCs/>
          <w:lang w:val="en-GB"/>
        </w:rPr>
        <w:t>1,</w:t>
      </w:r>
      <w:r w:rsidRPr="00410783">
        <w:rPr>
          <w:i/>
          <w:lang w:val="en-GB"/>
        </w:rPr>
        <w:t xml:space="preserve"> d</w:t>
      </w:r>
      <w:r w:rsidRPr="00410783">
        <w:rPr>
          <w:iCs/>
          <w:lang w:val="en-GB"/>
        </w:rPr>
        <w:t>1</w:t>
      </w:r>
      <w:r w:rsidR="00410783">
        <w:rPr>
          <w:rFonts w:ascii="Arial" w:hAnsi="Arial" w:cs="Arial"/>
          <w:color w:val="0000FF"/>
          <w:lang w:val="en-GB"/>
        </w:rPr>
        <w:t xml:space="preserve"> </w:t>
      </w:r>
      <w:r w:rsidRPr="00410783">
        <w:rPr>
          <w:i/>
          <w:lang w:val="en-GB"/>
        </w:rPr>
        <w:t>+</w:t>
      </w:r>
      <w:r w:rsidR="00410783">
        <w:rPr>
          <w:rFonts w:ascii="Arial" w:hAnsi="Arial" w:cs="Arial"/>
          <w:color w:val="0000FF"/>
          <w:lang w:val="en-GB"/>
        </w:rPr>
        <w:t xml:space="preserve"> </w:t>
      </w:r>
      <w:r w:rsidRPr="00410783">
        <w:rPr>
          <w:i/>
          <w:lang w:val="en-GB"/>
        </w:rPr>
        <w:t>d</w:t>
      </w:r>
      <w:r w:rsidRPr="00410783">
        <w:rPr>
          <w:iCs/>
          <w:lang w:val="en-GB"/>
        </w:rPr>
        <w:t>2</w:t>
      </w:r>
      <w:r w:rsidRPr="00410783">
        <w:rPr>
          <w:lang w:val="en-GB"/>
        </w:rPr>
        <w:t>) of two objects (1, 2) on the ground from the angle between eye level and the line of sight to each object.</w:t>
      </w:r>
      <w:r w:rsidR="006873B4" w:rsidRPr="00410783">
        <w:rPr>
          <w:lang w:val="en-GB"/>
        </w:rPr>
        <w:t xml:space="preserve"> </w:t>
      </w:r>
      <w:r w:rsidRPr="00410783">
        <w:rPr>
          <w:lang w:val="en-GB"/>
        </w:rPr>
        <w:t xml:space="preserve">Distance to Object 1 </w:t>
      </w:r>
      <w:proofErr w:type="gramStart"/>
      <w:r w:rsidRPr="00410783">
        <w:rPr>
          <w:lang w:val="en-GB"/>
        </w:rPr>
        <w:t>is :</w:t>
      </w:r>
      <w:proofErr w:type="gramEnd"/>
      <w:r w:rsidRPr="00410783">
        <w:rPr>
          <w:lang w:val="en-GB"/>
        </w:rPr>
        <w:t xml:space="preserve"> </w:t>
      </w:r>
      <w:r w:rsidRPr="00410783">
        <w:rPr>
          <w:i/>
          <w:lang w:val="en-GB"/>
        </w:rPr>
        <w:t>d</w:t>
      </w:r>
      <w:r w:rsidRPr="00410783">
        <w:rPr>
          <w:iCs/>
          <w:lang w:val="en-GB"/>
        </w:rPr>
        <w:t>1</w:t>
      </w:r>
      <w:r w:rsidR="00410783">
        <w:rPr>
          <w:rFonts w:ascii="Arial" w:hAnsi="Arial" w:cs="Arial"/>
          <w:color w:val="0000FF"/>
          <w:lang w:val="en-GB"/>
        </w:rPr>
        <w:t xml:space="preserve"> </w:t>
      </w:r>
      <w:r w:rsidRPr="00410783">
        <w:rPr>
          <w:lang w:val="en-GB"/>
        </w:rPr>
        <w:t>=</w:t>
      </w:r>
      <w:r w:rsidR="00410783">
        <w:rPr>
          <w:rFonts w:ascii="Arial" w:hAnsi="Arial" w:cs="Arial"/>
          <w:color w:val="0000FF"/>
          <w:lang w:val="en-GB"/>
        </w:rPr>
        <w:t xml:space="preserve"> </w:t>
      </w:r>
      <w:r w:rsidRPr="00410783">
        <w:rPr>
          <w:i/>
          <w:lang w:val="en-GB"/>
        </w:rPr>
        <w:t>h</w:t>
      </w:r>
      <w:r w:rsidRPr="00410783">
        <w:rPr>
          <w:lang w:val="en-GB"/>
        </w:rPr>
        <w:t xml:space="preserve">/tan </w:t>
      </w:r>
      <w:r w:rsidRPr="00410783">
        <w:rPr>
          <w:i/>
          <w:lang w:val="en-GB"/>
        </w:rPr>
        <w:t xml:space="preserve">a, </w:t>
      </w:r>
      <w:r w:rsidRPr="00410783">
        <w:rPr>
          <w:lang w:val="en-GB"/>
        </w:rPr>
        <w:t>and to Object 2,</w:t>
      </w:r>
      <w:r w:rsidRPr="00410783">
        <w:rPr>
          <w:i/>
          <w:lang w:val="en-GB"/>
        </w:rPr>
        <w:t xml:space="preserve"> d</w:t>
      </w:r>
      <w:r w:rsidRPr="00410783">
        <w:rPr>
          <w:iCs/>
          <w:lang w:val="en-GB"/>
        </w:rPr>
        <w:t>1</w:t>
      </w:r>
      <w:r w:rsidR="00410783">
        <w:rPr>
          <w:rFonts w:ascii="Arial" w:hAnsi="Arial" w:cs="Arial"/>
          <w:color w:val="0000FF"/>
          <w:lang w:val="en-GB"/>
        </w:rPr>
        <w:t xml:space="preserve"> </w:t>
      </w:r>
      <w:r w:rsidRPr="00410783">
        <w:rPr>
          <w:i/>
          <w:lang w:val="en-GB"/>
        </w:rPr>
        <w:t>+</w:t>
      </w:r>
      <w:r w:rsidR="00410783">
        <w:rPr>
          <w:rFonts w:ascii="Arial" w:hAnsi="Arial" w:cs="Arial"/>
          <w:color w:val="0000FF"/>
          <w:lang w:val="en-GB"/>
        </w:rPr>
        <w:t xml:space="preserve"> </w:t>
      </w:r>
      <w:r w:rsidRPr="00410783">
        <w:rPr>
          <w:i/>
          <w:lang w:val="en-GB"/>
        </w:rPr>
        <w:t>d</w:t>
      </w:r>
      <w:r w:rsidRPr="00410783">
        <w:rPr>
          <w:iCs/>
          <w:lang w:val="en-GB"/>
        </w:rPr>
        <w:t>2</w:t>
      </w:r>
      <w:r w:rsidR="00410783">
        <w:rPr>
          <w:rFonts w:ascii="Arial" w:hAnsi="Arial" w:cs="Arial"/>
          <w:color w:val="0000FF"/>
          <w:lang w:val="en-GB"/>
        </w:rPr>
        <w:t xml:space="preserve"> </w:t>
      </w:r>
      <w:r w:rsidRPr="00410783">
        <w:rPr>
          <w:i/>
          <w:lang w:val="en-GB"/>
        </w:rPr>
        <w:t>=</w:t>
      </w:r>
      <w:r w:rsidR="00410783">
        <w:rPr>
          <w:rFonts w:ascii="Arial" w:hAnsi="Arial" w:cs="Arial"/>
          <w:color w:val="0000FF"/>
          <w:lang w:val="en-GB"/>
        </w:rPr>
        <w:t xml:space="preserve"> </w:t>
      </w:r>
      <w:r w:rsidRPr="00410783">
        <w:rPr>
          <w:i/>
          <w:lang w:val="en-GB"/>
        </w:rPr>
        <w:t>h/</w:t>
      </w:r>
      <w:r w:rsidRPr="00410783">
        <w:rPr>
          <w:lang w:val="en-GB"/>
        </w:rPr>
        <w:t>tan</w:t>
      </w:r>
      <w:r w:rsidR="00A1141B" w:rsidRPr="00410783">
        <w:rPr>
          <w:lang w:val="en-GB"/>
        </w:rPr>
        <w:t xml:space="preserve"> </w:t>
      </w:r>
      <w:r w:rsidRPr="00410783">
        <w:rPr>
          <w:iCs/>
          <w:lang w:val="en-GB"/>
        </w:rPr>
        <w:t>(</w:t>
      </w:r>
      <w:r w:rsidRPr="00410783">
        <w:rPr>
          <w:i/>
          <w:lang w:val="en-GB"/>
        </w:rPr>
        <w:t>a</w:t>
      </w:r>
      <w:r w:rsidR="00410783">
        <w:rPr>
          <w:rFonts w:ascii="Arial" w:hAnsi="Arial" w:cs="Arial"/>
          <w:color w:val="0000FF"/>
          <w:lang w:val="en-GB"/>
        </w:rPr>
        <w:t xml:space="preserve"> </w:t>
      </w:r>
      <w:r w:rsidRPr="00410783">
        <w:rPr>
          <w:i/>
          <w:lang w:val="en-GB"/>
        </w:rPr>
        <w:t>+</w:t>
      </w:r>
      <w:r w:rsidR="00410783">
        <w:rPr>
          <w:rFonts w:ascii="Arial" w:hAnsi="Arial" w:cs="Arial"/>
          <w:color w:val="0000FF"/>
          <w:lang w:val="en-GB"/>
        </w:rPr>
        <w:t xml:space="preserve"> </w:t>
      </w:r>
      <w:r w:rsidRPr="00410783">
        <w:rPr>
          <w:i/>
          <w:lang w:val="en-GB"/>
        </w:rPr>
        <w:t>b</w:t>
      </w:r>
      <w:r w:rsidRPr="00410783">
        <w:rPr>
          <w:iCs/>
          <w:lang w:val="en-GB"/>
        </w:rPr>
        <w:t>)</w:t>
      </w:r>
      <w:r w:rsidRPr="00410783">
        <w:rPr>
          <w:i/>
          <w:lang w:val="en-GB"/>
        </w:rPr>
        <w:t xml:space="preserve">. </w:t>
      </w:r>
      <w:r w:rsidRPr="00410783">
        <w:rPr>
          <w:lang w:val="en-GB"/>
        </w:rPr>
        <w:t>Redrawn from Ooi et al</w:t>
      </w:r>
      <w:r w:rsidR="009E3D32" w:rsidRPr="00410783">
        <w:rPr>
          <w:lang w:val="en-GB"/>
        </w:rPr>
        <w:t>.</w:t>
      </w:r>
      <w:r w:rsidRPr="00410783">
        <w:rPr>
          <w:lang w:val="en-GB"/>
        </w:rPr>
        <w:t xml:space="preserve"> (2001).</w:t>
      </w:r>
    </w:p>
    <w:p w14:paraId="7F75F9B7" w14:textId="366D300B" w:rsidR="00F17ED8" w:rsidRPr="00410783" w:rsidRDefault="00F17ED8" w:rsidP="00410783">
      <w:pPr>
        <w:ind w:left="144" w:firstLine="360"/>
        <w:rPr>
          <w:lang w:val="en-GB"/>
        </w:rPr>
      </w:pPr>
      <w:r w:rsidRPr="00410783">
        <w:rPr>
          <w:lang w:val="en-GB"/>
        </w:rPr>
        <w:t>Assuming an eye height of 150</w:t>
      </w:r>
      <w:r w:rsidR="00410783">
        <w:rPr>
          <w:rFonts w:ascii="Arial" w:hAnsi="Arial" w:cs="Arial"/>
          <w:color w:val="0000FF"/>
          <w:lang w:val="en-GB"/>
        </w:rPr>
        <w:t xml:space="preserve"> </w:t>
      </w:r>
      <w:r w:rsidRPr="00410783">
        <w:rPr>
          <w:lang w:val="en-GB"/>
        </w:rPr>
        <w:t>cm, plot a graph (using say Microsoft Excel, in which case include the RADIANS function in your formula) of angular declination (from say 5 to 85</w:t>
      </w:r>
      <w:r w:rsidR="00410783">
        <w:rPr>
          <w:rFonts w:ascii="Arial" w:hAnsi="Arial" w:cs="Arial"/>
          <w:color w:val="0000FF"/>
          <w:lang w:val="en-GB"/>
        </w:rPr>
        <w:t xml:space="preserve"> </w:t>
      </w:r>
      <w:r w:rsidRPr="00410783">
        <w:rPr>
          <w:lang w:val="en-GB"/>
        </w:rPr>
        <w:t>degrees) against object distance. You should see that the graph declines quite sharply for large angular declinations (short distances), but becomes quite shallow for distances over about 5</w:t>
      </w:r>
      <w:r w:rsidR="00F12E18" w:rsidRPr="00410783">
        <w:rPr>
          <w:lang w:val="en-GB"/>
        </w:rPr>
        <w:t>–</w:t>
      </w:r>
      <w:r w:rsidRPr="00410783">
        <w:rPr>
          <w:lang w:val="en-GB"/>
        </w:rPr>
        <w:t>6</w:t>
      </w:r>
      <w:r w:rsidR="00410783">
        <w:rPr>
          <w:rFonts w:ascii="Arial" w:hAnsi="Arial" w:cs="Arial"/>
          <w:color w:val="0000FF"/>
          <w:lang w:val="en-GB"/>
        </w:rPr>
        <w:t xml:space="preserve"> </w:t>
      </w:r>
      <w:r w:rsidRPr="00410783">
        <w:rPr>
          <w:lang w:val="en-GB"/>
        </w:rPr>
        <w:t>m.</w:t>
      </w:r>
      <w:r w:rsidR="006873B4" w:rsidRPr="00410783">
        <w:rPr>
          <w:lang w:val="en-GB"/>
        </w:rPr>
        <w:t xml:space="preserve"> </w:t>
      </w:r>
      <w:r w:rsidRPr="00410783">
        <w:rPr>
          <w:lang w:val="en-GB"/>
        </w:rPr>
        <w:t xml:space="preserve">On this view, height in the visual field would be quite a sensitive cue for near objects, but a much coarser cue for more distant objects. </w:t>
      </w:r>
      <w:proofErr w:type="gramStart"/>
      <w:r w:rsidRPr="00410783">
        <w:rPr>
          <w:lang w:val="en-GB"/>
        </w:rPr>
        <w:t>Thus</w:t>
      </w:r>
      <w:proofErr w:type="gramEnd"/>
      <w:r w:rsidRPr="00410783">
        <w:rPr>
          <w:lang w:val="en-GB"/>
        </w:rPr>
        <w:t xml:space="preserve"> a change in declination from 85 to 80</w:t>
      </w:r>
      <w:r w:rsidR="00410783">
        <w:rPr>
          <w:rFonts w:ascii="Arial" w:hAnsi="Arial" w:cs="Arial"/>
          <w:color w:val="0000FF"/>
          <w:lang w:val="en-GB"/>
        </w:rPr>
        <w:t xml:space="preserve"> </w:t>
      </w:r>
      <w:r w:rsidRPr="00410783">
        <w:rPr>
          <w:lang w:val="en-GB"/>
        </w:rPr>
        <w:t>degrees corresponds to a change of distance of less than 1</w:t>
      </w:r>
      <w:r w:rsidR="00410783">
        <w:rPr>
          <w:rFonts w:ascii="Arial" w:hAnsi="Arial" w:cs="Arial"/>
          <w:color w:val="0000FF"/>
          <w:lang w:val="en-GB"/>
        </w:rPr>
        <w:t xml:space="preserve"> </w:t>
      </w:r>
      <w:r w:rsidRPr="00410783">
        <w:rPr>
          <w:lang w:val="en-GB"/>
        </w:rPr>
        <w:t>m, whereas a change from 10 to 5</w:t>
      </w:r>
      <w:r w:rsidR="00410783">
        <w:rPr>
          <w:rFonts w:ascii="Arial" w:hAnsi="Arial" w:cs="Arial"/>
          <w:color w:val="0000FF"/>
          <w:lang w:val="en-GB"/>
        </w:rPr>
        <w:t xml:space="preserve"> </w:t>
      </w:r>
      <w:r w:rsidRPr="00410783">
        <w:rPr>
          <w:lang w:val="en-GB"/>
        </w:rPr>
        <w:t>degrees corresponds to a change of around 1</w:t>
      </w:r>
      <w:r w:rsidR="00410783">
        <w:rPr>
          <w:rFonts w:ascii="Arial" w:hAnsi="Arial" w:cs="Arial"/>
          <w:color w:val="0000FF"/>
          <w:lang w:val="en-GB"/>
        </w:rPr>
        <w:t xml:space="preserve"> </w:t>
      </w:r>
      <w:r w:rsidRPr="00410783">
        <w:rPr>
          <w:lang w:val="en-GB"/>
        </w:rPr>
        <w:t>km.</w:t>
      </w:r>
    </w:p>
    <w:p w14:paraId="6CE0A1E8" w14:textId="77777777" w:rsidR="00F17ED8" w:rsidRPr="00410783" w:rsidRDefault="00F17ED8" w:rsidP="00410783">
      <w:pPr>
        <w:ind w:firstLine="360"/>
        <w:rPr>
          <w:lang w:val="en-GB"/>
        </w:rPr>
      </w:pPr>
      <w:r w:rsidRPr="00410783">
        <w:rPr>
          <w:lang w:val="en-GB"/>
        </w:rPr>
        <w:t>The computation of angular declination would work perfectly if the surface of the earth was as flat and smooth as a pool table. But what would happen when the ground undulates markedly, so that an object might be positioned on a hillock? Without further rules, the visual system would perceive the object as further away than it really was.</w:t>
      </w:r>
    </w:p>
    <w:p w14:paraId="0D2256A9" w14:textId="218CE802" w:rsidR="0070463C" w:rsidRPr="00410783" w:rsidRDefault="00F17ED8" w:rsidP="00410783">
      <w:pPr>
        <w:ind w:left="720" w:hanging="360"/>
        <w:rPr>
          <w:lang w:val="en-GB"/>
        </w:rPr>
      </w:pPr>
      <w:proofErr w:type="spellStart"/>
      <w:r w:rsidRPr="00410783">
        <w:rPr>
          <w:lang w:val="en-GB"/>
        </w:rPr>
        <w:t>Ooi</w:t>
      </w:r>
      <w:proofErr w:type="spellEnd"/>
      <w:r w:rsidRPr="00410783">
        <w:rPr>
          <w:lang w:val="en-GB"/>
        </w:rPr>
        <w:t xml:space="preserve"> TL, Wu B, He ZJ (2001) Distance determined by the angular declination below the horizon. </w:t>
      </w:r>
      <w:r w:rsidRPr="00410783">
        <w:rPr>
          <w:i/>
          <w:iCs/>
          <w:lang w:val="en-GB"/>
        </w:rPr>
        <w:t>Nature</w:t>
      </w:r>
      <w:r w:rsidR="006873B4" w:rsidRPr="00410783">
        <w:rPr>
          <w:lang w:val="en-GB"/>
        </w:rPr>
        <w:t xml:space="preserve"> </w:t>
      </w:r>
      <w:r w:rsidRPr="00410783">
        <w:rPr>
          <w:lang w:val="en-GB"/>
        </w:rPr>
        <w:t>414: 197</w:t>
      </w:r>
      <w:r w:rsidR="0088781E" w:rsidRPr="00410783">
        <w:rPr>
          <w:lang w:val="en-GB"/>
        </w:rPr>
        <w:t>–</w:t>
      </w:r>
      <w:r w:rsidRPr="00410783">
        <w:rPr>
          <w:lang w:val="en-GB"/>
        </w:rPr>
        <w:t>200</w:t>
      </w:r>
      <w:r w:rsidR="0088781E" w:rsidRPr="00410783">
        <w:rPr>
          <w:lang w:val="en-GB"/>
        </w:rPr>
        <w:t>.</w:t>
      </w:r>
    </w:p>
    <w:sectPr w:rsidR="0070463C" w:rsidRPr="00410783"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F040" w14:textId="77777777" w:rsidR="004B5140" w:rsidRDefault="004B5140">
      <w:r>
        <w:separator/>
      </w:r>
    </w:p>
  </w:endnote>
  <w:endnote w:type="continuationSeparator" w:id="0">
    <w:p w14:paraId="1EA5FF68"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8663" w14:textId="77777777" w:rsidR="004B5140" w:rsidRDefault="004B5140">
      <w:r>
        <w:separator/>
      </w:r>
    </w:p>
  </w:footnote>
  <w:footnote w:type="continuationSeparator" w:id="0">
    <w:p w14:paraId="55B2D596"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C9D2"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158B2D05"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5835714">
    <w:abstractNumId w:val="5"/>
  </w:num>
  <w:num w:numId="2" w16cid:durableId="625309291">
    <w:abstractNumId w:val="11"/>
  </w:num>
  <w:num w:numId="3" w16cid:durableId="558319809">
    <w:abstractNumId w:val="8"/>
  </w:num>
  <w:num w:numId="4" w16cid:durableId="209417147">
    <w:abstractNumId w:val="6"/>
  </w:num>
  <w:num w:numId="5" w16cid:durableId="738021407">
    <w:abstractNumId w:val="7"/>
  </w:num>
  <w:num w:numId="6" w16cid:durableId="750587449">
    <w:abstractNumId w:val="4"/>
  </w:num>
  <w:num w:numId="7" w16cid:durableId="1434862921">
    <w:abstractNumId w:val="2"/>
  </w:num>
  <w:num w:numId="8" w16cid:durableId="1667056837">
    <w:abstractNumId w:val="1"/>
  </w:num>
  <w:num w:numId="9" w16cid:durableId="1767264992">
    <w:abstractNumId w:val="0"/>
  </w:num>
  <w:num w:numId="10" w16cid:durableId="1715423237">
    <w:abstractNumId w:val="3"/>
  </w:num>
  <w:num w:numId="11" w16cid:durableId="1477993842">
    <w:abstractNumId w:val="9"/>
  </w:num>
  <w:num w:numId="12" w16cid:durableId="831683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862AE"/>
    <w:rsid w:val="000F388C"/>
    <w:rsid w:val="0015405F"/>
    <w:rsid w:val="0017404C"/>
    <w:rsid w:val="00185227"/>
    <w:rsid w:val="001A239F"/>
    <w:rsid w:val="001B761C"/>
    <w:rsid w:val="001F7343"/>
    <w:rsid w:val="002152B5"/>
    <w:rsid w:val="00227074"/>
    <w:rsid w:val="00272B2E"/>
    <w:rsid w:val="002C44D0"/>
    <w:rsid w:val="002D0F36"/>
    <w:rsid w:val="002D5319"/>
    <w:rsid w:val="002F62BA"/>
    <w:rsid w:val="00305E1D"/>
    <w:rsid w:val="00327683"/>
    <w:rsid w:val="00331370"/>
    <w:rsid w:val="00361935"/>
    <w:rsid w:val="00365504"/>
    <w:rsid w:val="00370467"/>
    <w:rsid w:val="00393EAF"/>
    <w:rsid w:val="00396AD3"/>
    <w:rsid w:val="003B6091"/>
    <w:rsid w:val="003C4235"/>
    <w:rsid w:val="003E708D"/>
    <w:rsid w:val="003E7BF7"/>
    <w:rsid w:val="003F0E55"/>
    <w:rsid w:val="00410783"/>
    <w:rsid w:val="0041308D"/>
    <w:rsid w:val="00416057"/>
    <w:rsid w:val="00424BD4"/>
    <w:rsid w:val="004762E3"/>
    <w:rsid w:val="004817D8"/>
    <w:rsid w:val="00486A8A"/>
    <w:rsid w:val="004A1135"/>
    <w:rsid w:val="004B17D5"/>
    <w:rsid w:val="004B5140"/>
    <w:rsid w:val="004C7FAF"/>
    <w:rsid w:val="004E02C0"/>
    <w:rsid w:val="004E5CF4"/>
    <w:rsid w:val="00500B36"/>
    <w:rsid w:val="005276E2"/>
    <w:rsid w:val="00533876"/>
    <w:rsid w:val="0053536D"/>
    <w:rsid w:val="00542CC3"/>
    <w:rsid w:val="005646CF"/>
    <w:rsid w:val="0058171D"/>
    <w:rsid w:val="00582851"/>
    <w:rsid w:val="00593132"/>
    <w:rsid w:val="00616A17"/>
    <w:rsid w:val="00637127"/>
    <w:rsid w:val="006376F7"/>
    <w:rsid w:val="006537C0"/>
    <w:rsid w:val="00661127"/>
    <w:rsid w:val="00665B79"/>
    <w:rsid w:val="0067627F"/>
    <w:rsid w:val="006873B4"/>
    <w:rsid w:val="0069184C"/>
    <w:rsid w:val="006C7443"/>
    <w:rsid w:val="006D1107"/>
    <w:rsid w:val="006E1D22"/>
    <w:rsid w:val="006F059D"/>
    <w:rsid w:val="006F4280"/>
    <w:rsid w:val="006F43FC"/>
    <w:rsid w:val="0070463C"/>
    <w:rsid w:val="0072507A"/>
    <w:rsid w:val="007557A1"/>
    <w:rsid w:val="00761723"/>
    <w:rsid w:val="007B2823"/>
    <w:rsid w:val="007B669D"/>
    <w:rsid w:val="007E4514"/>
    <w:rsid w:val="007F120D"/>
    <w:rsid w:val="00804E85"/>
    <w:rsid w:val="00811EC9"/>
    <w:rsid w:val="00812742"/>
    <w:rsid w:val="00852986"/>
    <w:rsid w:val="00870008"/>
    <w:rsid w:val="00876836"/>
    <w:rsid w:val="0088781E"/>
    <w:rsid w:val="008978D0"/>
    <w:rsid w:val="008A238F"/>
    <w:rsid w:val="008B339D"/>
    <w:rsid w:val="008C4617"/>
    <w:rsid w:val="008D029E"/>
    <w:rsid w:val="008E46E0"/>
    <w:rsid w:val="008F6092"/>
    <w:rsid w:val="009259FE"/>
    <w:rsid w:val="00931319"/>
    <w:rsid w:val="00956287"/>
    <w:rsid w:val="0096128C"/>
    <w:rsid w:val="00963D40"/>
    <w:rsid w:val="00974AA9"/>
    <w:rsid w:val="00991CF3"/>
    <w:rsid w:val="009A40A6"/>
    <w:rsid w:val="009B2FE8"/>
    <w:rsid w:val="009B7BBD"/>
    <w:rsid w:val="009C5E31"/>
    <w:rsid w:val="009E3D32"/>
    <w:rsid w:val="00A059F3"/>
    <w:rsid w:val="00A1141B"/>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76093"/>
    <w:rsid w:val="00BB0C36"/>
    <w:rsid w:val="00C039B2"/>
    <w:rsid w:val="00C048E3"/>
    <w:rsid w:val="00C266E0"/>
    <w:rsid w:val="00C36A7C"/>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1A23"/>
    <w:rsid w:val="00EC67A7"/>
    <w:rsid w:val="00EC6AC2"/>
    <w:rsid w:val="00F01A6C"/>
    <w:rsid w:val="00F12E18"/>
    <w:rsid w:val="00F17ED8"/>
    <w:rsid w:val="00F25E6B"/>
    <w:rsid w:val="00F4373D"/>
    <w:rsid w:val="00F54DB9"/>
    <w:rsid w:val="00F61361"/>
    <w:rsid w:val="00F709A2"/>
    <w:rsid w:val="00F70E90"/>
    <w:rsid w:val="00F7153D"/>
    <w:rsid w:val="00F77A8F"/>
    <w:rsid w:val="00F9515B"/>
    <w:rsid w:val="00FD6C0D"/>
    <w:rsid w:val="00FD7ED2"/>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6ABEA43"/>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B79"/>
    <w:pPr>
      <w:spacing w:line="360" w:lineRule="auto"/>
      <w:contextualSpacing/>
    </w:pPr>
    <w:rPr>
      <w:sz w:val="24"/>
      <w:szCs w:val="24"/>
    </w:rPr>
  </w:style>
  <w:style w:type="paragraph" w:styleId="Heading1">
    <w:name w:val="heading 1"/>
    <w:basedOn w:val="Normal"/>
    <w:next w:val="Normal"/>
    <w:link w:val="Heading1Char"/>
    <w:autoRedefine/>
    <w:qFormat/>
    <w:rsid w:val="005276E2"/>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5276E2"/>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5276E2"/>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5276E2"/>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7736-1D18-424D-8021-25490737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3121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24</cp:revision>
  <dcterms:created xsi:type="dcterms:W3CDTF">2022-04-06T11:45:00Z</dcterms:created>
  <dcterms:modified xsi:type="dcterms:W3CDTF">2022-04-25T09:02:00Z</dcterms:modified>
</cp:coreProperties>
</file>