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E774" w14:textId="77777777" w:rsidR="00A11D47" w:rsidRDefault="00937DD6" w:rsidP="00D01B6A">
      <w:pPr>
        <w:pStyle w:val="Title"/>
      </w:pPr>
      <w:r w:rsidRPr="00890A20">
        <w:t>Key Not</w:t>
      </w:r>
      <w:r w:rsidR="008711D5" w:rsidRPr="008711D5">
        <w:t>e</w:t>
      </w:r>
    </w:p>
    <w:p w14:paraId="2D0F1705" w14:textId="77777777" w:rsidR="00A11D47" w:rsidRDefault="00B02C61" w:rsidP="00D01B6A">
      <w:pPr>
        <w:pStyle w:val="Heading1"/>
      </w:pPr>
      <w:r w:rsidRPr="00B02C61">
        <w:t>Chapter 14: Attention and awareness</w:t>
      </w:r>
    </w:p>
    <w:p w14:paraId="22305C3D" w14:textId="2AF615C0" w:rsidR="00B02C61" w:rsidRPr="00D01B6A" w:rsidRDefault="00A07A38">
      <w:pPr>
        <w:pStyle w:val="Heading2"/>
        <w:rPr>
          <w:bCs w:val="0"/>
          <w:color w:val="000000" w:themeColor="text1"/>
          <w:sz w:val="24"/>
          <w:szCs w:val="24"/>
        </w:rPr>
      </w:pPr>
      <w:proofErr w:type="gramStart"/>
      <w:r w:rsidRPr="0013047F">
        <w:rPr>
          <w:b/>
          <w:bCs w:val="0"/>
        </w:rPr>
        <w:t>Key note</w:t>
      </w:r>
      <w:proofErr w:type="gramEnd"/>
      <w:r w:rsidRPr="0013047F">
        <w:rPr>
          <w:b/>
          <w:bCs w:val="0"/>
        </w:rPr>
        <w:t xml:space="preserve"> 14D</w:t>
      </w:r>
      <w:r>
        <w:rPr>
          <w:b/>
          <w:bCs w:val="0"/>
        </w:rPr>
        <w:t>:</w:t>
      </w:r>
      <w:r w:rsidRPr="00D01B6A">
        <w:rPr>
          <w:b/>
          <w:bCs w:val="0"/>
        </w:rPr>
        <w:t xml:space="preserve"> Distinguishing between attention and (conscious) awareness in blindsight</w:t>
      </w:r>
    </w:p>
    <w:p w14:paraId="344F5B50" w14:textId="3DAD3101" w:rsidR="00A11D47" w:rsidRDefault="00937DD6" w:rsidP="00D01B6A">
      <w:pPr>
        <w:rPr>
          <w:color w:val="000000" w:themeColor="text1"/>
        </w:rPr>
      </w:pPr>
      <w:r w:rsidRPr="72AEFF3B">
        <w:rPr>
          <w:color w:val="000000" w:themeColor="text1"/>
          <w:lang w:val="en-GB"/>
        </w:rPr>
        <w:t>Lack of awareness in blindsight is not the same as lack of attention. Kentridge et al</w:t>
      </w:r>
      <w:r w:rsidR="00144863">
        <w:rPr>
          <w:color w:val="000000" w:themeColor="text1"/>
          <w:lang w:val="en-GB"/>
        </w:rPr>
        <w:t>.</w:t>
      </w:r>
      <w:r w:rsidRPr="72AEFF3B">
        <w:rPr>
          <w:color w:val="000000" w:themeColor="text1"/>
          <w:lang w:val="en-GB"/>
        </w:rPr>
        <w:t xml:space="preserve"> (1999) showed that Patient GY was faster and more accurate at detecting a visual target presented to his blind field if the position of the target was cued by an arrow in his sighted field. However, he was no more likely to report awareness of the visual target. In subsequent work using a Posner cuing paradigm, the speed </w:t>
      </w:r>
      <w:r w:rsidR="00144863" w:rsidRPr="72AEFF3B">
        <w:rPr>
          <w:color w:val="000000" w:themeColor="text1"/>
          <w:lang w:val="en-GB"/>
        </w:rPr>
        <w:t>a</w:t>
      </w:r>
      <w:r w:rsidR="00144863">
        <w:rPr>
          <w:color w:val="000000" w:themeColor="text1"/>
          <w:lang w:val="en-GB"/>
        </w:rPr>
        <w:t>t</w:t>
      </w:r>
      <w:r w:rsidR="00144863" w:rsidRPr="72AEFF3B">
        <w:rPr>
          <w:color w:val="000000" w:themeColor="text1"/>
          <w:lang w:val="en-GB"/>
        </w:rPr>
        <w:t xml:space="preserve"> </w:t>
      </w:r>
      <w:r w:rsidRPr="72AEFF3B">
        <w:rPr>
          <w:color w:val="000000" w:themeColor="text1"/>
          <w:lang w:val="en-GB"/>
        </w:rPr>
        <w:t>which GY made orientation discrimination judgements to blind field targets was facilitated by valid cues, but the cues did not result in greater accuracy (Kentridge et al., 2004). These studies reinforce the view that attention and (conscious) awareness should not be conflated and that successful attentional performance does not always rely on processing within primary visual areas (Danckert et al</w:t>
      </w:r>
      <w:r w:rsidR="00144863">
        <w:rPr>
          <w:color w:val="000000" w:themeColor="text1"/>
          <w:lang w:val="en-GB"/>
        </w:rPr>
        <w:t>.</w:t>
      </w:r>
      <w:r w:rsidR="00D118EC">
        <w:rPr>
          <w:color w:val="000000" w:themeColor="text1"/>
          <w:lang w:val="en-GB"/>
        </w:rPr>
        <w:t>,</w:t>
      </w:r>
      <w:r w:rsidRPr="72AEFF3B">
        <w:rPr>
          <w:color w:val="000000" w:themeColor="text1"/>
          <w:lang w:val="en-GB"/>
        </w:rPr>
        <w:t xml:space="preserve"> 2021).</w:t>
      </w:r>
    </w:p>
    <w:p w14:paraId="60E736BD" w14:textId="77777777" w:rsidR="00D01B6A" w:rsidRDefault="00D01B6A">
      <w:pPr>
        <w:ind w:left="720" w:hanging="360"/>
        <w:rPr>
          <w:color w:val="000000" w:themeColor="text1"/>
          <w:lang w:val="en-GB"/>
        </w:rPr>
      </w:pPr>
    </w:p>
    <w:p w14:paraId="636EED05" w14:textId="57CFE6DD" w:rsidR="00A11D47" w:rsidRDefault="00937DD6" w:rsidP="00D01B6A">
      <w:pPr>
        <w:ind w:left="720" w:hanging="360"/>
        <w:rPr>
          <w:color w:val="000000" w:themeColor="text1"/>
        </w:rPr>
      </w:pPr>
      <w:proofErr w:type="spellStart"/>
      <w:r w:rsidRPr="72AEFF3B">
        <w:rPr>
          <w:color w:val="000000" w:themeColor="text1"/>
          <w:lang w:val="en-GB"/>
        </w:rPr>
        <w:t>Danckert</w:t>
      </w:r>
      <w:proofErr w:type="spellEnd"/>
      <w:r w:rsidRPr="72AEFF3B">
        <w:rPr>
          <w:color w:val="000000" w:themeColor="text1"/>
          <w:lang w:val="en-GB"/>
        </w:rPr>
        <w:t xml:space="preserve"> J, </w:t>
      </w:r>
      <w:proofErr w:type="spellStart"/>
      <w:r w:rsidRPr="72AEFF3B">
        <w:rPr>
          <w:color w:val="000000" w:themeColor="text1"/>
          <w:lang w:val="en-GB"/>
        </w:rPr>
        <w:t>Striemer</w:t>
      </w:r>
      <w:proofErr w:type="spellEnd"/>
      <w:r w:rsidRPr="72AEFF3B">
        <w:rPr>
          <w:color w:val="000000" w:themeColor="text1"/>
          <w:lang w:val="en-GB"/>
        </w:rPr>
        <w:t xml:space="preserve"> C, Rossetti Y (2021) Blindsight. In </w:t>
      </w:r>
      <w:r w:rsidRPr="00D01B6A">
        <w:rPr>
          <w:i/>
          <w:iCs/>
          <w:color w:val="000000" w:themeColor="text1"/>
          <w:lang w:val="en-GB"/>
        </w:rPr>
        <w:t xml:space="preserve">Handbook of </w:t>
      </w:r>
      <w:r w:rsidR="0013047F" w:rsidRPr="00D01B6A">
        <w:rPr>
          <w:i/>
          <w:iCs/>
          <w:color w:val="000000" w:themeColor="text1"/>
          <w:lang w:val="en-GB"/>
        </w:rPr>
        <w:t>clinical neurology</w:t>
      </w:r>
      <w:r w:rsidR="00EB6758">
        <w:rPr>
          <w:color w:val="000000" w:themeColor="text1"/>
          <w:lang w:val="en-GB"/>
        </w:rPr>
        <w:t xml:space="preserve"> </w:t>
      </w:r>
      <w:r w:rsidRPr="72AEFF3B">
        <w:rPr>
          <w:color w:val="000000" w:themeColor="text1"/>
          <w:lang w:val="en-GB"/>
        </w:rPr>
        <w:t>Vol.</w:t>
      </w:r>
      <w:r w:rsidR="00EB6758">
        <w:rPr>
          <w:color w:val="000000" w:themeColor="text1"/>
          <w:lang w:val="en-GB"/>
        </w:rPr>
        <w:t xml:space="preserve"> </w:t>
      </w:r>
      <w:r w:rsidRPr="72AEFF3B">
        <w:rPr>
          <w:color w:val="000000" w:themeColor="text1"/>
          <w:lang w:val="en-GB"/>
        </w:rPr>
        <w:t xml:space="preserve">178 </w:t>
      </w:r>
      <w:r w:rsidR="00C27DE6" w:rsidRPr="00C27DE6">
        <w:rPr>
          <w:color w:val="000000" w:themeColor="text1"/>
          <w:lang w:val="en-GB"/>
        </w:rPr>
        <w:t>(eds: JJS Barton, A Leff). Amsterdam: Elsevier, pp. 297–310</w:t>
      </w:r>
      <w:r w:rsidR="00894DFD">
        <w:rPr>
          <w:color w:val="000000" w:themeColor="text1"/>
          <w:lang w:val="en-GB"/>
        </w:rPr>
        <w:t>.</w:t>
      </w:r>
    </w:p>
    <w:p w14:paraId="3187B44E" w14:textId="5DD892C9" w:rsidR="00A11D47" w:rsidRDefault="00937DD6" w:rsidP="00D01B6A">
      <w:pPr>
        <w:ind w:left="720" w:hanging="360"/>
        <w:rPr>
          <w:color w:val="000000" w:themeColor="text1"/>
        </w:rPr>
      </w:pPr>
      <w:r w:rsidRPr="72AEFF3B">
        <w:rPr>
          <w:color w:val="000000" w:themeColor="text1"/>
          <w:lang w:val="en-GB"/>
        </w:rPr>
        <w:t xml:space="preserve">Kentridge RW, Heywood CA, Weiskrantz L (1999) Attention without awareness in blindsight. </w:t>
      </w:r>
      <w:r w:rsidRPr="00D01B6A">
        <w:rPr>
          <w:i/>
          <w:iCs/>
          <w:color w:val="000000" w:themeColor="text1"/>
          <w:lang w:val="en-GB"/>
        </w:rPr>
        <w:t>Proceedings of the Royal Society of London B</w:t>
      </w:r>
      <w:r w:rsidRPr="72AEFF3B">
        <w:rPr>
          <w:color w:val="000000" w:themeColor="text1"/>
          <w:lang w:val="en-GB"/>
        </w:rPr>
        <w:t xml:space="preserve"> 266: 1805</w:t>
      </w:r>
      <w:r w:rsidR="00A80CF3">
        <w:rPr>
          <w:color w:val="000000" w:themeColor="text1"/>
          <w:lang w:val="en-GB"/>
        </w:rPr>
        <w:t>–</w:t>
      </w:r>
      <w:r w:rsidRPr="72AEFF3B">
        <w:rPr>
          <w:color w:val="000000" w:themeColor="text1"/>
          <w:lang w:val="en-GB"/>
        </w:rPr>
        <w:t>1811</w:t>
      </w:r>
      <w:r w:rsidR="00A80CF3">
        <w:rPr>
          <w:color w:val="000000" w:themeColor="text1"/>
          <w:lang w:val="en-GB"/>
        </w:rPr>
        <w:t>.</w:t>
      </w:r>
    </w:p>
    <w:p w14:paraId="23D14420" w14:textId="7CF84575" w:rsidR="00A11D47" w:rsidRDefault="00937DD6" w:rsidP="00D01B6A">
      <w:pPr>
        <w:ind w:left="720" w:hanging="360"/>
      </w:pPr>
      <w:r w:rsidRPr="72AEFF3B">
        <w:rPr>
          <w:color w:val="000000" w:themeColor="text1"/>
          <w:lang w:val="en-GB"/>
        </w:rPr>
        <w:t>Kentridge RW, Heywood CA, Weiskrantz L (2004) Spatial attention speeds discrimination without awareness</w:t>
      </w:r>
      <w:r w:rsidR="00D01B6A">
        <w:rPr>
          <w:color w:val="000000" w:themeColor="text1"/>
          <w:lang w:val="en-GB"/>
        </w:rPr>
        <w:t xml:space="preserve">. </w:t>
      </w:r>
      <w:r w:rsidR="00D01B6A" w:rsidRPr="00D01B6A">
        <w:rPr>
          <w:i/>
          <w:iCs/>
        </w:rPr>
        <w:t>Neuropsychologia</w:t>
      </w:r>
      <w:r w:rsidR="00D01B6A">
        <w:t xml:space="preserve"> </w:t>
      </w:r>
      <w:r w:rsidR="00D01B6A">
        <w:t>42(6):</w:t>
      </w:r>
      <w:r w:rsidR="00D01B6A">
        <w:t xml:space="preserve"> </w:t>
      </w:r>
      <w:r w:rsidR="00D01B6A">
        <w:t>831</w:t>
      </w:r>
      <w:r w:rsidR="00D01B6A">
        <w:t>–83</w:t>
      </w:r>
      <w:r w:rsidR="00D01B6A">
        <w:t>5</w:t>
      </w:r>
      <w:r w:rsidR="00D01B6A">
        <w:t>.</w:t>
      </w:r>
    </w:p>
    <w:sectPr w:rsidR="00A11D47"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68FB" w14:textId="77777777" w:rsidR="004B5140" w:rsidRDefault="004B5140">
      <w:r>
        <w:separator/>
      </w:r>
    </w:p>
  </w:endnote>
  <w:endnote w:type="continuationSeparator" w:id="0">
    <w:p w14:paraId="7B515BA0"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3A38" w14:textId="77777777" w:rsidR="004B5140" w:rsidRDefault="004B5140">
      <w:r>
        <w:separator/>
      </w:r>
    </w:p>
  </w:footnote>
  <w:footnote w:type="continuationSeparator" w:id="0">
    <w:p w14:paraId="002529E8"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4594"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58550054"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9857194">
    <w:abstractNumId w:val="5"/>
  </w:num>
  <w:num w:numId="2" w16cid:durableId="876508961">
    <w:abstractNumId w:val="11"/>
  </w:num>
  <w:num w:numId="3" w16cid:durableId="797070906">
    <w:abstractNumId w:val="8"/>
  </w:num>
  <w:num w:numId="4" w16cid:durableId="1196045241">
    <w:abstractNumId w:val="6"/>
  </w:num>
  <w:num w:numId="5" w16cid:durableId="864909500">
    <w:abstractNumId w:val="7"/>
  </w:num>
  <w:num w:numId="6" w16cid:durableId="2116557527">
    <w:abstractNumId w:val="4"/>
  </w:num>
  <w:num w:numId="7" w16cid:durableId="1225945701">
    <w:abstractNumId w:val="2"/>
  </w:num>
  <w:num w:numId="8" w16cid:durableId="1376613388">
    <w:abstractNumId w:val="1"/>
  </w:num>
  <w:num w:numId="9" w16cid:durableId="1224752847">
    <w:abstractNumId w:val="0"/>
  </w:num>
  <w:num w:numId="10" w16cid:durableId="9452783">
    <w:abstractNumId w:val="3"/>
  </w:num>
  <w:num w:numId="11" w16cid:durableId="936331346">
    <w:abstractNumId w:val="9"/>
  </w:num>
  <w:num w:numId="12" w16cid:durableId="794176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13F02"/>
    <w:rsid w:val="00024CB8"/>
    <w:rsid w:val="00033437"/>
    <w:rsid w:val="000629BA"/>
    <w:rsid w:val="000673A8"/>
    <w:rsid w:val="000F388C"/>
    <w:rsid w:val="001234B3"/>
    <w:rsid w:val="0013047F"/>
    <w:rsid w:val="00144863"/>
    <w:rsid w:val="0015405F"/>
    <w:rsid w:val="00164211"/>
    <w:rsid w:val="0017404C"/>
    <w:rsid w:val="00185227"/>
    <w:rsid w:val="001A239F"/>
    <w:rsid w:val="001B761C"/>
    <w:rsid w:val="001F4820"/>
    <w:rsid w:val="001F7343"/>
    <w:rsid w:val="00207204"/>
    <w:rsid w:val="00227074"/>
    <w:rsid w:val="00272B2E"/>
    <w:rsid w:val="002C44D0"/>
    <w:rsid w:val="002D0F36"/>
    <w:rsid w:val="002D5319"/>
    <w:rsid w:val="002F62BA"/>
    <w:rsid w:val="00305E1D"/>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62E5C"/>
    <w:rsid w:val="0067627F"/>
    <w:rsid w:val="0069184C"/>
    <w:rsid w:val="006C7443"/>
    <w:rsid w:val="006D1107"/>
    <w:rsid w:val="006E1D22"/>
    <w:rsid w:val="006F059D"/>
    <w:rsid w:val="006F43FC"/>
    <w:rsid w:val="0070463C"/>
    <w:rsid w:val="0072507A"/>
    <w:rsid w:val="007557A1"/>
    <w:rsid w:val="00761723"/>
    <w:rsid w:val="007834AC"/>
    <w:rsid w:val="007B2823"/>
    <w:rsid w:val="007B669D"/>
    <w:rsid w:val="007C4662"/>
    <w:rsid w:val="00804E85"/>
    <w:rsid w:val="00811EC9"/>
    <w:rsid w:val="00812742"/>
    <w:rsid w:val="00852986"/>
    <w:rsid w:val="00870008"/>
    <w:rsid w:val="008711D5"/>
    <w:rsid w:val="00876836"/>
    <w:rsid w:val="00890A20"/>
    <w:rsid w:val="00894DFD"/>
    <w:rsid w:val="008978D0"/>
    <w:rsid w:val="008B339D"/>
    <w:rsid w:val="008C4617"/>
    <w:rsid w:val="008D029E"/>
    <w:rsid w:val="008E46E0"/>
    <w:rsid w:val="008F6092"/>
    <w:rsid w:val="009259FE"/>
    <w:rsid w:val="00931319"/>
    <w:rsid w:val="00937DD6"/>
    <w:rsid w:val="00956287"/>
    <w:rsid w:val="0096128C"/>
    <w:rsid w:val="00963D40"/>
    <w:rsid w:val="00974AA9"/>
    <w:rsid w:val="00991CF3"/>
    <w:rsid w:val="009A40A6"/>
    <w:rsid w:val="009B2FE8"/>
    <w:rsid w:val="009B7BBD"/>
    <w:rsid w:val="00A059F3"/>
    <w:rsid w:val="00A06087"/>
    <w:rsid w:val="00A07A38"/>
    <w:rsid w:val="00A11D47"/>
    <w:rsid w:val="00A1465F"/>
    <w:rsid w:val="00A324FE"/>
    <w:rsid w:val="00A44E55"/>
    <w:rsid w:val="00A77424"/>
    <w:rsid w:val="00A80CF3"/>
    <w:rsid w:val="00A84C45"/>
    <w:rsid w:val="00AB42AC"/>
    <w:rsid w:val="00AD5452"/>
    <w:rsid w:val="00AD5E2E"/>
    <w:rsid w:val="00AF0C3C"/>
    <w:rsid w:val="00AF311C"/>
    <w:rsid w:val="00AF4F8B"/>
    <w:rsid w:val="00B02C61"/>
    <w:rsid w:val="00B164AA"/>
    <w:rsid w:val="00B31FED"/>
    <w:rsid w:val="00B36615"/>
    <w:rsid w:val="00B42E08"/>
    <w:rsid w:val="00B73564"/>
    <w:rsid w:val="00BB0C36"/>
    <w:rsid w:val="00C039B2"/>
    <w:rsid w:val="00C048E3"/>
    <w:rsid w:val="00C266E0"/>
    <w:rsid w:val="00C27DE6"/>
    <w:rsid w:val="00C55F1A"/>
    <w:rsid w:val="00C6457F"/>
    <w:rsid w:val="00C8654C"/>
    <w:rsid w:val="00CB2339"/>
    <w:rsid w:val="00CD1179"/>
    <w:rsid w:val="00CE06A4"/>
    <w:rsid w:val="00CE414B"/>
    <w:rsid w:val="00CF39F3"/>
    <w:rsid w:val="00CF5F08"/>
    <w:rsid w:val="00D01B6A"/>
    <w:rsid w:val="00D118EC"/>
    <w:rsid w:val="00D33536"/>
    <w:rsid w:val="00D37AF2"/>
    <w:rsid w:val="00D46302"/>
    <w:rsid w:val="00D61BCA"/>
    <w:rsid w:val="00D667AA"/>
    <w:rsid w:val="00D83A68"/>
    <w:rsid w:val="00D8701F"/>
    <w:rsid w:val="00DA246F"/>
    <w:rsid w:val="00E06479"/>
    <w:rsid w:val="00E21D27"/>
    <w:rsid w:val="00E352E1"/>
    <w:rsid w:val="00E52712"/>
    <w:rsid w:val="00E74418"/>
    <w:rsid w:val="00EB6758"/>
    <w:rsid w:val="00EC67A7"/>
    <w:rsid w:val="00EC6AC2"/>
    <w:rsid w:val="00EF6BDD"/>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0032EB1"/>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DD6"/>
    <w:pPr>
      <w:spacing w:line="360" w:lineRule="auto"/>
      <w:contextualSpacing/>
    </w:pPr>
    <w:rPr>
      <w:sz w:val="24"/>
      <w:szCs w:val="24"/>
    </w:rPr>
  </w:style>
  <w:style w:type="paragraph" w:styleId="Heading1">
    <w:name w:val="heading 1"/>
    <w:basedOn w:val="Normal"/>
    <w:next w:val="Normal"/>
    <w:link w:val="Heading1Char"/>
    <w:autoRedefine/>
    <w:qFormat/>
    <w:rsid w:val="00890A20"/>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1234B3"/>
    <w:pPr>
      <w:keepNext/>
      <w:keepLines/>
      <w:spacing w:before="100" w:after="100"/>
      <w:outlineLvl w:val="1"/>
    </w:pPr>
    <w:rPr>
      <w:bCs/>
      <w:color w:val="5B9BD5"/>
      <w:sz w:val="26"/>
      <w:szCs w:val="26"/>
      <w:lang w:val="en-GB"/>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890A20"/>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1234B3"/>
    <w:rPr>
      <w:bCs/>
      <w:color w:val="5B9BD5"/>
      <w:sz w:val="26"/>
      <w:szCs w:val="26"/>
      <w:lang w:val="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B45D-307E-4A7D-8B7D-2E4DF28D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1400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24</cp:revision>
  <dcterms:created xsi:type="dcterms:W3CDTF">2022-04-06T11:45:00Z</dcterms:created>
  <dcterms:modified xsi:type="dcterms:W3CDTF">2022-04-25T09:40:00Z</dcterms:modified>
</cp:coreProperties>
</file>