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014A" w14:textId="77777777" w:rsidR="00C36459" w:rsidRPr="005715F0" w:rsidRDefault="000A2D98" w:rsidP="005715F0">
      <w:pPr>
        <w:pStyle w:val="Title"/>
        <w:rPr>
          <w:lang w:val="en-GB"/>
        </w:rPr>
      </w:pPr>
      <w:r w:rsidRPr="005715F0">
        <w:rPr>
          <w:lang w:val="en-GB"/>
        </w:rPr>
        <w:t>Key Note</w:t>
      </w:r>
    </w:p>
    <w:p w14:paraId="57E932F9" w14:textId="77777777" w:rsidR="00294A2B" w:rsidRPr="005715F0" w:rsidRDefault="00294A2B" w:rsidP="005715F0">
      <w:pPr>
        <w:pStyle w:val="Heading1"/>
        <w:rPr>
          <w:lang w:val="en-GB"/>
        </w:rPr>
      </w:pPr>
      <w:r w:rsidRPr="005715F0">
        <w:rPr>
          <w:lang w:val="en-GB"/>
        </w:rPr>
        <w:t>Chapter 4: Seeing in colour</w:t>
      </w:r>
    </w:p>
    <w:p w14:paraId="2855520D" w14:textId="77777777" w:rsidR="00C36459" w:rsidRPr="005715F0" w:rsidRDefault="00F94C22" w:rsidP="005715F0">
      <w:pPr>
        <w:pStyle w:val="Heading2"/>
        <w:rPr>
          <w:b w:val="0"/>
          <w:lang w:val="en-GB"/>
        </w:rPr>
      </w:pPr>
      <w:r w:rsidRPr="005715F0">
        <w:rPr>
          <w:lang w:val="en-GB"/>
        </w:rPr>
        <w:t>Key note 4A: Peculiarities of the S cone system</w:t>
      </w:r>
    </w:p>
    <w:p w14:paraId="74836FD3" w14:textId="77777777" w:rsidR="00C36459" w:rsidRPr="005715F0" w:rsidRDefault="00564ADE">
      <w:pPr>
        <w:rPr>
          <w:lang w:val="en-GB"/>
        </w:rPr>
      </w:pPr>
      <w:r w:rsidRPr="005715F0">
        <w:rPr>
          <w:lang w:val="en-GB"/>
        </w:rPr>
        <w:t>In this note, we describe studies of the spatial and temporal resolution of the S cone system, which both appear to be worse than those of the L and M cones.</w:t>
      </w:r>
    </w:p>
    <w:p w14:paraId="68384201" w14:textId="3FAEAB36" w:rsidR="00AE1C6D" w:rsidRPr="005715F0" w:rsidRDefault="00564ADE" w:rsidP="000A2D98">
      <w:pPr>
        <w:ind w:firstLine="360"/>
        <w:rPr>
          <w:lang w:val="en-GB"/>
        </w:rPr>
      </w:pPr>
      <w:r w:rsidRPr="005715F0">
        <w:rPr>
          <w:lang w:val="en-GB"/>
        </w:rPr>
        <w:t>The S (blue) cone system appears to be different in several respects to those of the L and M cones. Because it is fed from fewer cones (and S cones are sparse in or absent from the fovea), it might be expected that the spatial resolution of the S cone system is low, an idea tested by Humanski and Wilson (1993) in a study of adaptation to gratings.</w:t>
      </w:r>
      <w:r w:rsidR="00AE1C6D" w:rsidRPr="005715F0">
        <w:rPr>
          <w:lang w:val="en-GB"/>
        </w:rPr>
        <w:t xml:space="preserve"> </w:t>
      </w:r>
      <w:r w:rsidRPr="005715F0">
        <w:rPr>
          <w:lang w:val="en-GB"/>
        </w:rPr>
        <w:t>These authors wanted to be sure that L and M cones could not be contributing to the perception of their stimuli, so their gratings of light and dark blue stripes were presented on an intense uniform yellow field, which would bleach out the pigment in L and M cones, making them insensitive.</w:t>
      </w:r>
      <w:r w:rsidR="00AE1C6D" w:rsidRPr="005715F0">
        <w:rPr>
          <w:lang w:val="en-GB"/>
        </w:rPr>
        <w:t xml:space="preserve"> </w:t>
      </w:r>
      <w:r w:rsidRPr="005715F0">
        <w:rPr>
          <w:lang w:val="en-GB"/>
        </w:rPr>
        <w:t>After initially adapting to the yellow field for 3</w:t>
      </w:r>
      <w:r w:rsidR="005715F0">
        <w:rPr>
          <w:rFonts w:ascii="Arial" w:hAnsi="Arial" w:cs="Arial"/>
          <w:color w:val="0000FF"/>
        </w:rPr>
        <w:t xml:space="preserve"> </w:t>
      </w:r>
      <w:r w:rsidRPr="005715F0">
        <w:rPr>
          <w:lang w:val="en-GB"/>
        </w:rPr>
        <w:t>min</w:t>
      </w:r>
      <w:r w:rsidR="001D0D85">
        <w:rPr>
          <w:lang w:val="en-GB"/>
        </w:rPr>
        <w:t>utes</w:t>
      </w:r>
      <w:r w:rsidRPr="005715F0">
        <w:rPr>
          <w:lang w:val="en-GB"/>
        </w:rPr>
        <w:t>, the observers adapted for 4</w:t>
      </w:r>
      <w:r w:rsidR="005715F0">
        <w:rPr>
          <w:rFonts w:ascii="Arial" w:hAnsi="Arial" w:cs="Arial"/>
          <w:color w:val="0000FF"/>
        </w:rPr>
        <w:t xml:space="preserve"> </w:t>
      </w:r>
      <w:r w:rsidRPr="005715F0">
        <w:rPr>
          <w:lang w:val="en-GB"/>
        </w:rPr>
        <w:t>min</w:t>
      </w:r>
      <w:r w:rsidR="00B40FFC">
        <w:rPr>
          <w:lang w:val="en-GB"/>
        </w:rPr>
        <w:t>utes</w:t>
      </w:r>
      <w:r w:rsidRPr="005715F0">
        <w:rPr>
          <w:lang w:val="en-GB"/>
        </w:rPr>
        <w:t xml:space="preserve"> to the yellow field and superimposed high contrast blue grating.</w:t>
      </w:r>
      <w:r w:rsidR="00AE1C6D" w:rsidRPr="005715F0">
        <w:rPr>
          <w:lang w:val="en-GB"/>
        </w:rPr>
        <w:t xml:space="preserve"> </w:t>
      </w:r>
      <w:r w:rsidRPr="005715F0">
        <w:rPr>
          <w:lang w:val="en-GB"/>
        </w:rPr>
        <w:t>The task was to decide in which of two intervals a subsequently presented low contrast test grating had appeared.</w:t>
      </w:r>
      <w:r w:rsidR="00AE1C6D" w:rsidRPr="005715F0">
        <w:rPr>
          <w:lang w:val="en-GB"/>
        </w:rPr>
        <w:t xml:space="preserve"> </w:t>
      </w:r>
      <w:r w:rsidRPr="005715F0">
        <w:rPr>
          <w:lang w:val="en-GB"/>
        </w:rPr>
        <w:t>From the contrast thresholds for test gratings of different spatial frequencies, the authors could calculate the peak sensitivities and bandwidths of the underlying mechanisms. They concluded that S cones fed three spatial mechanisms, two with peak sensitivities of 0.7 and 1.4</w:t>
      </w:r>
      <w:r w:rsidR="005715F0">
        <w:rPr>
          <w:rFonts w:ascii="Arial" w:hAnsi="Arial" w:cs="Arial"/>
          <w:color w:val="0000FF"/>
        </w:rPr>
        <w:t xml:space="preserve"> </w:t>
      </w:r>
      <w:r w:rsidRPr="005715F0">
        <w:rPr>
          <w:lang w:val="en-GB"/>
        </w:rPr>
        <w:t>c</w:t>
      </w:r>
      <w:r w:rsidR="005715F0">
        <w:rPr>
          <w:rFonts w:ascii="Arial" w:hAnsi="Arial" w:cs="Arial"/>
          <w:color w:val="0000FF"/>
        </w:rPr>
        <w:t xml:space="preserve"> </w:t>
      </w:r>
      <w:r w:rsidRPr="005715F0">
        <w:rPr>
          <w:lang w:val="en-GB"/>
        </w:rPr>
        <w:t>deg</w:t>
      </w:r>
      <w:r w:rsidR="006931BB" w:rsidRPr="005715F0">
        <w:rPr>
          <w:vertAlign w:val="superscript"/>
          <w:lang w:val="en-GB"/>
        </w:rPr>
        <w:t>−</w:t>
      </w:r>
      <w:r w:rsidRPr="005715F0">
        <w:rPr>
          <w:vertAlign w:val="superscript"/>
          <w:lang w:val="en-GB"/>
        </w:rPr>
        <w:t>1</w:t>
      </w:r>
      <w:r w:rsidRPr="005715F0">
        <w:rPr>
          <w:lang w:val="en-GB"/>
        </w:rPr>
        <w:t>, and one which handled spatial frequencies below 0.35</w:t>
      </w:r>
      <w:r w:rsidR="005715F0">
        <w:rPr>
          <w:rFonts w:ascii="Arial" w:hAnsi="Arial" w:cs="Arial"/>
          <w:color w:val="0000FF"/>
        </w:rPr>
        <w:t xml:space="preserve"> </w:t>
      </w:r>
      <w:r w:rsidRPr="005715F0">
        <w:rPr>
          <w:lang w:val="en-GB"/>
        </w:rPr>
        <w:t>c</w:t>
      </w:r>
      <w:r w:rsidR="005715F0">
        <w:rPr>
          <w:rFonts w:ascii="Arial" w:hAnsi="Arial" w:cs="Arial"/>
          <w:color w:val="0000FF"/>
        </w:rPr>
        <w:t xml:space="preserve"> </w:t>
      </w:r>
      <w:r w:rsidRPr="005715F0">
        <w:rPr>
          <w:lang w:val="en-GB"/>
        </w:rPr>
        <w:t>deg</w:t>
      </w:r>
      <w:r w:rsidR="00292120" w:rsidRPr="005715F0">
        <w:rPr>
          <w:vertAlign w:val="superscript"/>
          <w:lang w:val="en-GB"/>
        </w:rPr>
        <w:t>−</w:t>
      </w:r>
      <w:r w:rsidRPr="005715F0">
        <w:rPr>
          <w:vertAlign w:val="superscript"/>
          <w:lang w:val="en-GB"/>
        </w:rPr>
        <w:t>1</w:t>
      </w:r>
      <w:r w:rsidRPr="005715F0">
        <w:rPr>
          <w:lang w:val="en-GB"/>
        </w:rPr>
        <w:t>. None responded to spatial frequencies above about 4</w:t>
      </w:r>
      <w:r w:rsidR="005715F0">
        <w:rPr>
          <w:rFonts w:ascii="Arial" w:hAnsi="Arial" w:cs="Arial"/>
          <w:color w:val="0000FF"/>
        </w:rPr>
        <w:t xml:space="preserve"> </w:t>
      </w:r>
      <w:r w:rsidRPr="005715F0">
        <w:rPr>
          <w:lang w:val="en-GB"/>
        </w:rPr>
        <w:t>c</w:t>
      </w:r>
      <w:r w:rsidR="005715F0">
        <w:rPr>
          <w:rFonts w:ascii="Arial" w:hAnsi="Arial" w:cs="Arial"/>
          <w:color w:val="0000FF"/>
        </w:rPr>
        <w:t xml:space="preserve"> </w:t>
      </w:r>
      <w:r w:rsidRPr="005715F0">
        <w:rPr>
          <w:lang w:val="en-GB"/>
        </w:rPr>
        <w:t>deg</w:t>
      </w:r>
      <w:r w:rsidR="00E71A4C" w:rsidRPr="005715F0">
        <w:rPr>
          <w:vertAlign w:val="superscript"/>
          <w:lang w:val="en-GB"/>
        </w:rPr>
        <w:t>−</w:t>
      </w:r>
      <w:r w:rsidRPr="005715F0">
        <w:rPr>
          <w:vertAlign w:val="superscript"/>
          <w:lang w:val="en-GB"/>
        </w:rPr>
        <w:t>1</w:t>
      </w:r>
      <w:r w:rsidRPr="005715F0">
        <w:rPr>
          <w:lang w:val="en-GB"/>
        </w:rPr>
        <w:t>. These values compare with a peak sensitivity of 16</w:t>
      </w:r>
      <w:r w:rsidR="005715F0">
        <w:rPr>
          <w:rFonts w:ascii="Arial" w:hAnsi="Arial" w:cs="Arial"/>
          <w:color w:val="0000FF"/>
        </w:rPr>
        <w:t xml:space="preserve"> </w:t>
      </w:r>
      <w:r w:rsidRPr="005715F0">
        <w:rPr>
          <w:lang w:val="en-GB"/>
        </w:rPr>
        <w:t>c</w:t>
      </w:r>
      <w:r w:rsidR="005715F0">
        <w:rPr>
          <w:rFonts w:ascii="Arial" w:hAnsi="Arial" w:cs="Arial"/>
          <w:color w:val="0000FF"/>
        </w:rPr>
        <w:t xml:space="preserve"> </w:t>
      </w:r>
      <w:r w:rsidRPr="005715F0">
        <w:rPr>
          <w:lang w:val="en-GB"/>
        </w:rPr>
        <w:t>deg</w:t>
      </w:r>
      <w:r w:rsidR="00833C04">
        <w:rPr>
          <w:vertAlign w:val="superscript"/>
          <w:lang w:val="en-GB"/>
        </w:rPr>
        <w:t>−</w:t>
      </w:r>
      <w:r w:rsidRPr="005715F0">
        <w:rPr>
          <w:vertAlign w:val="superscript"/>
          <w:lang w:val="en-GB"/>
        </w:rPr>
        <w:t xml:space="preserve">1 </w:t>
      </w:r>
      <w:r w:rsidRPr="005715F0">
        <w:rPr>
          <w:lang w:val="en-GB"/>
        </w:rPr>
        <w:t>for the highest spatial frequency mechanism responding to luminance modulated gratings (see Chapter 5).</w:t>
      </w:r>
    </w:p>
    <w:p w14:paraId="7C53B947" w14:textId="3057FA69" w:rsidR="00C36459" w:rsidRDefault="00564ADE" w:rsidP="005715F0">
      <w:pPr>
        <w:ind w:firstLine="360"/>
        <w:rPr>
          <w:lang w:val="en-GB"/>
        </w:rPr>
      </w:pPr>
      <w:r w:rsidRPr="005715F0">
        <w:rPr>
          <w:lang w:val="en-GB"/>
        </w:rPr>
        <w:t>It also appears that the S</w:t>
      </w:r>
      <w:r w:rsidR="005715F0">
        <w:rPr>
          <w:rFonts w:ascii="Arial" w:hAnsi="Arial" w:cs="Arial"/>
          <w:color w:val="0000FF"/>
        </w:rPr>
        <w:t xml:space="preserve"> </w:t>
      </w:r>
      <w:r w:rsidR="0018169C">
        <w:rPr>
          <w:color w:val="0000FF"/>
        </w:rPr>
        <w:t>−</w:t>
      </w:r>
      <w:r w:rsidR="005715F0">
        <w:rPr>
          <w:rFonts w:ascii="Arial" w:hAnsi="Arial" w:cs="Arial"/>
          <w:color w:val="0000FF"/>
        </w:rPr>
        <w:t xml:space="preserve"> </w:t>
      </w:r>
      <w:r w:rsidRPr="005715F0">
        <w:rPr>
          <w:lang w:val="en-GB"/>
        </w:rPr>
        <w:t>(L</w:t>
      </w:r>
      <w:r w:rsidR="005715F0">
        <w:rPr>
          <w:rFonts w:ascii="Arial" w:hAnsi="Arial" w:cs="Arial"/>
          <w:color w:val="0000FF"/>
        </w:rPr>
        <w:t xml:space="preserve"> </w:t>
      </w:r>
      <w:r w:rsidRPr="005715F0">
        <w:rPr>
          <w:lang w:val="en-GB"/>
        </w:rPr>
        <w:t>+</w:t>
      </w:r>
      <w:r w:rsidR="005715F0">
        <w:rPr>
          <w:rFonts w:ascii="Arial" w:hAnsi="Arial" w:cs="Arial"/>
          <w:color w:val="0000FF"/>
        </w:rPr>
        <w:t xml:space="preserve"> </w:t>
      </w:r>
      <w:r w:rsidRPr="005715F0">
        <w:rPr>
          <w:lang w:val="en-GB"/>
        </w:rPr>
        <w:t>M) system responds more slowly than does the L</w:t>
      </w:r>
      <w:r w:rsidR="005715F0">
        <w:rPr>
          <w:rFonts w:ascii="Arial" w:hAnsi="Arial" w:cs="Arial"/>
          <w:color w:val="0000FF"/>
        </w:rPr>
        <w:t xml:space="preserve"> </w:t>
      </w:r>
      <w:r w:rsidR="0099275F">
        <w:rPr>
          <w:lang w:val="en-GB"/>
        </w:rPr>
        <w:t>−</w:t>
      </w:r>
      <w:r w:rsidR="005715F0">
        <w:rPr>
          <w:rFonts w:ascii="Arial" w:hAnsi="Arial" w:cs="Arial"/>
          <w:color w:val="0000FF"/>
        </w:rPr>
        <w:t xml:space="preserve"> </w:t>
      </w:r>
      <w:r w:rsidRPr="005715F0">
        <w:rPr>
          <w:lang w:val="en-GB"/>
        </w:rPr>
        <w:t xml:space="preserve">M system. Smithson and Mollon (2004) tested this idea in humans by measuring reaction times. Their displays were composed of arrays of randomly positioned discs, whose luminance was jittered about the overall mean, rather like that of the Ishihara plates (see Chapter 3 in the </w:t>
      </w:r>
      <w:r w:rsidRPr="005715F0">
        <w:rPr>
          <w:lang w:val="en-GB"/>
        </w:rPr>
        <w:lastRenderedPageBreak/>
        <w:t>book), on a uniform background of the same hue as the discs. The target was an arc of such discs occupying one quarter of an imaginary annulus with the fixation point at its centre, produced by a small change in hue, close to detection threshold.</w:t>
      </w:r>
      <w:r w:rsidR="00AE1C6D" w:rsidRPr="005715F0">
        <w:rPr>
          <w:lang w:val="en-GB"/>
        </w:rPr>
        <w:t xml:space="preserve"> </w:t>
      </w:r>
      <w:r w:rsidRPr="005715F0">
        <w:rPr>
          <w:lang w:val="en-GB"/>
        </w:rPr>
        <w:t>Before the experiment proper, the authors measured each observer’s tritan confusion line, that is, the axis in colour space along which a change of hue affects only the S cones, for the retinal positions on which the target could fall.</w:t>
      </w:r>
      <w:r w:rsidR="00AE1C6D" w:rsidRPr="005715F0">
        <w:rPr>
          <w:lang w:val="en-GB"/>
        </w:rPr>
        <w:t xml:space="preserve"> </w:t>
      </w:r>
      <w:r w:rsidRPr="005715F0">
        <w:rPr>
          <w:lang w:val="en-GB"/>
        </w:rPr>
        <w:t>The most interesting comparison in their study is between reaction times when the S cones were stimulated (by a change in hue along the tritan line) and when the change in target hue was along the L</w:t>
      </w:r>
      <w:r w:rsidR="004A3052">
        <w:rPr>
          <w:lang w:val="en-GB"/>
        </w:rPr>
        <w:t>−</w:t>
      </w:r>
      <w:r w:rsidRPr="005715F0">
        <w:rPr>
          <w:lang w:val="en-GB"/>
        </w:rPr>
        <w:t>M axis (as established by others).</w:t>
      </w:r>
      <w:r w:rsidR="00AE1C6D" w:rsidRPr="005715F0">
        <w:rPr>
          <w:lang w:val="en-GB"/>
        </w:rPr>
        <w:t xml:space="preserve"> </w:t>
      </w:r>
      <w:r w:rsidRPr="005715F0">
        <w:rPr>
          <w:lang w:val="en-GB"/>
        </w:rPr>
        <w:t>Reaction times to the S cone stimuli were 20</w:t>
      </w:r>
      <w:r w:rsidR="00554B07">
        <w:rPr>
          <w:lang w:val="en-GB"/>
        </w:rPr>
        <w:t>–</w:t>
      </w:r>
      <w:r w:rsidRPr="005715F0">
        <w:rPr>
          <w:lang w:val="en-GB"/>
        </w:rPr>
        <w:t>30</w:t>
      </w:r>
      <w:r w:rsidR="005715F0">
        <w:rPr>
          <w:rFonts w:ascii="Arial" w:hAnsi="Arial" w:cs="Arial"/>
          <w:color w:val="0000FF"/>
        </w:rPr>
        <w:t xml:space="preserve"> </w:t>
      </w:r>
      <w:proofErr w:type="spellStart"/>
      <w:r w:rsidRPr="005715F0">
        <w:rPr>
          <w:lang w:val="en-GB"/>
        </w:rPr>
        <w:t>ms</w:t>
      </w:r>
      <w:proofErr w:type="spellEnd"/>
      <w:r w:rsidRPr="005715F0">
        <w:rPr>
          <w:lang w:val="en-GB"/>
        </w:rPr>
        <w:t xml:space="preserve"> longer than those to the L</w:t>
      </w:r>
      <w:r w:rsidR="00647065">
        <w:rPr>
          <w:lang w:val="en-GB"/>
        </w:rPr>
        <w:t>−</w:t>
      </w:r>
      <w:r w:rsidRPr="005715F0">
        <w:rPr>
          <w:lang w:val="en-GB"/>
        </w:rPr>
        <w:t>M stimuli, suggesting that indeed the S cone system is more sluggish.</w:t>
      </w:r>
    </w:p>
    <w:p w14:paraId="3A2E4AC3" w14:textId="77777777" w:rsidR="005715F0" w:rsidRPr="005715F0" w:rsidRDefault="005715F0" w:rsidP="005715F0">
      <w:pPr>
        <w:ind w:firstLine="360"/>
        <w:rPr>
          <w:lang w:val="en-GB"/>
        </w:rPr>
      </w:pPr>
    </w:p>
    <w:p w14:paraId="44F0FB0C" w14:textId="2BC1EB5E" w:rsidR="00C36459" w:rsidRPr="005715F0" w:rsidRDefault="00564ADE" w:rsidP="005715F0">
      <w:pPr>
        <w:ind w:left="720" w:hanging="360"/>
        <w:rPr>
          <w:lang w:val="en-GB"/>
        </w:rPr>
      </w:pPr>
      <w:proofErr w:type="spellStart"/>
      <w:r w:rsidRPr="005715F0">
        <w:rPr>
          <w:lang w:val="en-GB"/>
        </w:rPr>
        <w:t>Humanski</w:t>
      </w:r>
      <w:proofErr w:type="spellEnd"/>
      <w:r w:rsidRPr="005715F0">
        <w:rPr>
          <w:lang w:val="en-GB"/>
        </w:rPr>
        <w:t xml:space="preserve"> RA, Wilson HR (1993) Spatial frequency adaptation: evidence for a multiple channel model of short-wavelength-sensitive-cone spatial vision. </w:t>
      </w:r>
      <w:r w:rsidRPr="005715F0">
        <w:rPr>
          <w:i/>
          <w:iCs/>
          <w:lang w:val="en-GB"/>
        </w:rPr>
        <w:t>Vision Research</w:t>
      </w:r>
      <w:r w:rsidRPr="005715F0">
        <w:rPr>
          <w:lang w:val="en-GB"/>
        </w:rPr>
        <w:t xml:space="preserve"> 33(5/6): 665</w:t>
      </w:r>
      <w:r w:rsidR="00BA6838">
        <w:rPr>
          <w:lang w:val="en-GB"/>
        </w:rPr>
        <w:t>–</w:t>
      </w:r>
      <w:r w:rsidRPr="005715F0">
        <w:rPr>
          <w:lang w:val="en-GB"/>
        </w:rPr>
        <w:t>675</w:t>
      </w:r>
      <w:r w:rsidR="00BA6838">
        <w:rPr>
          <w:lang w:val="en-GB"/>
        </w:rPr>
        <w:t>.</w:t>
      </w:r>
    </w:p>
    <w:p w14:paraId="3BECE7BE" w14:textId="378ED70A" w:rsidR="00C36459" w:rsidRPr="005715F0" w:rsidRDefault="00564ADE" w:rsidP="005715F0">
      <w:pPr>
        <w:ind w:left="720" w:hanging="360"/>
        <w:rPr>
          <w:lang w:val="en-GB"/>
        </w:rPr>
      </w:pPr>
      <w:r w:rsidRPr="005715F0">
        <w:rPr>
          <w:lang w:val="en-GB"/>
        </w:rPr>
        <w:t xml:space="preserve">Smithson HE, </w:t>
      </w:r>
      <w:proofErr w:type="spellStart"/>
      <w:r w:rsidRPr="005715F0">
        <w:rPr>
          <w:lang w:val="en-GB"/>
        </w:rPr>
        <w:t>Mollon</w:t>
      </w:r>
      <w:proofErr w:type="spellEnd"/>
      <w:r w:rsidRPr="005715F0">
        <w:rPr>
          <w:lang w:val="en-GB"/>
        </w:rPr>
        <w:t xml:space="preserve"> JD (2004) Is the S-opponent chromatic sub-system sluggish? </w:t>
      </w:r>
      <w:r w:rsidRPr="005715F0">
        <w:rPr>
          <w:i/>
          <w:iCs/>
          <w:lang w:val="en-GB"/>
        </w:rPr>
        <w:t>Vision Research</w:t>
      </w:r>
      <w:r w:rsidRPr="005715F0">
        <w:rPr>
          <w:lang w:val="en-GB"/>
        </w:rPr>
        <w:t xml:space="preserve"> 44: 2919</w:t>
      </w:r>
      <w:r w:rsidR="00351C86">
        <w:rPr>
          <w:lang w:val="en-GB"/>
        </w:rPr>
        <w:t>–</w:t>
      </w:r>
      <w:r w:rsidRPr="005715F0">
        <w:rPr>
          <w:lang w:val="en-GB"/>
        </w:rPr>
        <w:t>2929</w:t>
      </w:r>
      <w:r w:rsidR="00351C86">
        <w:rPr>
          <w:lang w:val="en-GB"/>
        </w:rPr>
        <w:t>.</w:t>
      </w:r>
    </w:p>
    <w:sectPr w:rsidR="00C36459" w:rsidRPr="005715F0"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DB88" w14:textId="77777777" w:rsidR="004B5140" w:rsidRDefault="004B5140">
      <w:r>
        <w:separator/>
      </w:r>
    </w:p>
  </w:endnote>
  <w:endnote w:type="continuationSeparator" w:id="0">
    <w:p w14:paraId="149D1ED1"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3BEB" w14:textId="77777777" w:rsidR="004B5140" w:rsidRDefault="004B5140">
      <w:r>
        <w:separator/>
      </w:r>
    </w:p>
  </w:footnote>
  <w:footnote w:type="continuationSeparator" w:id="0">
    <w:p w14:paraId="4148873D"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CDAC"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5BDAFD39"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6277043">
    <w:abstractNumId w:val="5"/>
  </w:num>
  <w:num w:numId="2" w16cid:durableId="1947808802">
    <w:abstractNumId w:val="11"/>
  </w:num>
  <w:num w:numId="3" w16cid:durableId="2033022429">
    <w:abstractNumId w:val="8"/>
  </w:num>
  <w:num w:numId="4" w16cid:durableId="2046246390">
    <w:abstractNumId w:val="6"/>
  </w:num>
  <w:num w:numId="5" w16cid:durableId="2143452882">
    <w:abstractNumId w:val="7"/>
  </w:num>
  <w:num w:numId="6" w16cid:durableId="836309018">
    <w:abstractNumId w:val="4"/>
  </w:num>
  <w:num w:numId="7" w16cid:durableId="942303258">
    <w:abstractNumId w:val="2"/>
  </w:num>
  <w:num w:numId="8" w16cid:durableId="768434144">
    <w:abstractNumId w:val="1"/>
  </w:num>
  <w:num w:numId="9" w16cid:durableId="1702589584">
    <w:abstractNumId w:val="0"/>
  </w:num>
  <w:num w:numId="10" w16cid:durableId="1929999221">
    <w:abstractNumId w:val="3"/>
  </w:num>
  <w:num w:numId="11" w16cid:durableId="1129282532">
    <w:abstractNumId w:val="9"/>
  </w:num>
  <w:num w:numId="12" w16cid:durableId="11489358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03B07"/>
    <w:rsid w:val="00024CB8"/>
    <w:rsid w:val="00033437"/>
    <w:rsid w:val="000629BA"/>
    <w:rsid w:val="000708C2"/>
    <w:rsid w:val="00085A54"/>
    <w:rsid w:val="000A2D98"/>
    <w:rsid w:val="000F388C"/>
    <w:rsid w:val="0015405F"/>
    <w:rsid w:val="0017404C"/>
    <w:rsid w:val="0018169C"/>
    <w:rsid w:val="00185227"/>
    <w:rsid w:val="001A239F"/>
    <w:rsid w:val="001B761C"/>
    <w:rsid w:val="001D0D85"/>
    <w:rsid w:val="001E379C"/>
    <w:rsid w:val="001F7343"/>
    <w:rsid w:val="00227074"/>
    <w:rsid w:val="002472C2"/>
    <w:rsid w:val="00272B2E"/>
    <w:rsid w:val="002803E3"/>
    <w:rsid w:val="00292120"/>
    <w:rsid w:val="00294A2B"/>
    <w:rsid w:val="002C44D0"/>
    <w:rsid w:val="002D0F36"/>
    <w:rsid w:val="002D5319"/>
    <w:rsid w:val="002F62BA"/>
    <w:rsid w:val="00305E1D"/>
    <w:rsid w:val="00327683"/>
    <w:rsid w:val="00331370"/>
    <w:rsid w:val="00351C86"/>
    <w:rsid w:val="00353DDF"/>
    <w:rsid w:val="00361935"/>
    <w:rsid w:val="00365504"/>
    <w:rsid w:val="00370467"/>
    <w:rsid w:val="00393EAF"/>
    <w:rsid w:val="00396AD3"/>
    <w:rsid w:val="003B6091"/>
    <w:rsid w:val="003C4235"/>
    <w:rsid w:val="003E113B"/>
    <w:rsid w:val="003E708D"/>
    <w:rsid w:val="003E7BF7"/>
    <w:rsid w:val="003F0E55"/>
    <w:rsid w:val="0041308D"/>
    <w:rsid w:val="004762E3"/>
    <w:rsid w:val="004817D8"/>
    <w:rsid w:val="00486A8A"/>
    <w:rsid w:val="004A1135"/>
    <w:rsid w:val="004A3052"/>
    <w:rsid w:val="004B17D5"/>
    <w:rsid w:val="004B5140"/>
    <w:rsid w:val="004C7FAF"/>
    <w:rsid w:val="004D739E"/>
    <w:rsid w:val="004E02C0"/>
    <w:rsid w:val="004E5CF4"/>
    <w:rsid w:val="00500B36"/>
    <w:rsid w:val="00533876"/>
    <w:rsid w:val="0053536D"/>
    <w:rsid w:val="00542CC3"/>
    <w:rsid w:val="00554B07"/>
    <w:rsid w:val="005646CF"/>
    <w:rsid w:val="00564ADE"/>
    <w:rsid w:val="005715F0"/>
    <w:rsid w:val="0058171D"/>
    <w:rsid w:val="00582851"/>
    <w:rsid w:val="00593132"/>
    <w:rsid w:val="00616A17"/>
    <w:rsid w:val="00637127"/>
    <w:rsid w:val="006376F7"/>
    <w:rsid w:val="00647065"/>
    <w:rsid w:val="006537C0"/>
    <w:rsid w:val="00661127"/>
    <w:rsid w:val="0067627F"/>
    <w:rsid w:val="0069184C"/>
    <w:rsid w:val="006931BB"/>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33C04"/>
    <w:rsid w:val="00852986"/>
    <w:rsid w:val="00870008"/>
    <w:rsid w:val="00876836"/>
    <w:rsid w:val="008978D0"/>
    <w:rsid w:val="008B339D"/>
    <w:rsid w:val="008C4617"/>
    <w:rsid w:val="008D029E"/>
    <w:rsid w:val="008E46E0"/>
    <w:rsid w:val="008F6092"/>
    <w:rsid w:val="009259FE"/>
    <w:rsid w:val="00931319"/>
    <w:rsid w:val="00956287"/>
    <w:rsid w:val="0096128C"/>
    <w:rsid w:val="00963D40"/>
    <w:rsid w:val="00974AA9"/>
    <w:rsid w:val="00991CF3"/>
    <w:rsid w:val="0099275F"/>
    <w:rsid w:val="009A40A6"/>
    <w:rsid w:val="009B2FE8"/>
    <w:rsid w:val="009B7BBD"/>
    <w:rsid w:val="00A059F3"/>
    <w:rsid w:val="00A1465F"/>
    <w:rsid w:val="00A324FE"/>
    <w:rsid w:val="00A44E55"/>
    <w:rsid w:val="00A77424"/>
    <w:rsid w:val="00A84C45"/>
    <w:rsid w:val="00AB42AC"/>
    <w:rsid w:val="00AD5452"/>
    <w:rsid w:val="00AD5E2E"/>
    <w:rsid w:val="00AE1C6D"/>
    <w:rsid w:val="00AF0C3C"/>
    <w:rsid w:val="00AF311C"/>
    <w:rsid w:val="00AF4F8B"/>
    <w:rsid w:val="00B164AA"/>
    <w:rsid w:val="00B31FED"/>
    <w:rsid w:val="00B36615"/>
    <w:rsid w:val="00B40FFC"/>
    <w:rsid w:val="00B42E08"/>
    <w:rsid w:val="00B73564"/>
    <w:rsid w:val="00BA5609"/>
    <w:rsid w:val="00BA6838"/>
    <w:rsid w:val="00BB0C36"/>
    <w:rsid w:val="00BD0A4A"/>
    <w:rsid w:val="00C039B2"/>
    <w:rsid w:val="00C048E3"/>
    <w:rsid w:val="00C22C19"/>
    <w:rsid w:val="00C266E0"/>
    <w:rsid w:val="00C36459"/>
    <w:rsid w:val="00C55F1A"/>
    <w:rsid w:val="00C6457F"/>
    <w:rsid w:val="00C8654C"/>
    <w:rsid w:val="00CB2339"/>
    <w:rsid w:val="00CD1179"/>
    <w:rsid w:val="00CE06A4"/>
    <w:rsid w:val="00CE414B"/>
    <w:rsid w:val="00CF39F3"/>
    <w:rsid w:val="00CF5F08"/>
    <w:rsid w:val="00CF6253"/>
    <w:rsid w:val="00D33536"/>
    <w:rsid w:val="00D37AF2"/>
    <w:rsid w:val="00D46302"/>
    <w:rsid w:val="00D61BCA"/>
    <w:rsid w:val="00D667AA"/>
    <w:rsid w:val="00D83A68"/>
    <w:rsid w:val="00D8701F"/>
    <w:rsid w:val="00DA246F"/>
    <w:rsid w:val="00DE3A47"/>
    <w:rsid w:val="00E06479"/>
    <w:rsid w:val="00E21D27"/>
    <w:rsid w:val="00E352E1"/>
    <w:rsid w:val="00E52712"/>
    <w:rsid w:val="00E71A4C"/>
    <w:rsid w:val="00E74418"/>
    <w:rsid w:val="00EC67A7"/>
    <w:rsid w:val="00EC6AC2"/>
    <w:rsid w:val="00F01A6C"/>
    <w:rsid w:val="00F25E6B"/>
    <w:rsid w:val="00F4373D"/>
    <w:rsid w:val="00F54DB9"/>
    <w:rsid w:val="00F568E7"/>
    <w:rsid w:val="00F61361"/>
    <w:rsid w:val="00F70E90"/>
    <w:rsid w:val="00F7153D"/>
    <w:rsid w:val="00F77A8F"/>
    <w:rsid w:val="00F94C22"/>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BAEA4D4"/>
  <w15:docId w15:val="{C10E423A-E2D1-4CD5-ABD0-A9279254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A54"/>
    <w:pPr>
      <w:spacing w:line="360" w:lineRule="auto"/>
      <w:contextualSpacing/>
    </w:pPr>
    <w:rPr>
      <w:sz w:val="24"/>
      <w:szCs w:val="24"/>
    </w:rPr>
  </w:style>
  <w:style w:type="paragraph" w:styleId="Heading1">
    <w:name w:val="heading 1"/>
    <w:basedOn w:val="Normal"/>
    <w:next w:val="Normal"/>
    <w:link w:val="Heading1Char"/>
    <w:autoRedefine/>
    <w:qFormat/>
    <w:rsid w:val="000A2D98"/>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294A2B"/>
    <w:pPr>
      <w:keepNext/>
      <w:keepLines/>
      <w:spacing w:before="100" w:after="100"/>
      <w:outlineLvl w:val="1"/>
    </w:pPr>
    <w:rPr>
      <w:rFonts w:eastAsiaTheme="majorEastAsia"/>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A2D98"/>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294A2B"/>
    <w:rPr>
      <w:rFonts w:eastAsiaTheme="majorEastAsia"/>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A733-8D9A-4302-82B9-CFEEC49A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3245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36</cp:revision>
  <dcterms:created xsi:type="dcterms:W3CDTF">2022-04-06T11:45:00Z</dcterms:created>
  <dcterms:modified xsi:type="dcterms:W3CDTF">2022-04-25T07:51:00Z</dcterms:modified>
</cp:coreProperties>
</file>