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444E" w14:textId="77777777" w:rsidR="003B7827" w:rsidRPr="00E63888" w:rsidRDefault="008E1C80" w:rsidP="00E63888">
      <w:pPr>
        <w:pStyle w:val="Title"/>
        <w:rPr>
          <w:lang w:val="en-GB"/>
        </w:rPr>
      </w:pPr>
      <w:proofErr w:type="gramStart"/>
      <w:r w:rsidRPr="00E63888">
        <w:rPr>
          <w:lang w:val="en-GB"/>
        </w:rPr>
        <w:t>Key Note</w:t>
      </w:r>
      <w:proofErr w:type="gramEnd"/>
    </w:p>
    <w:p w14:paraId="7E474CB5" w14:textId="77777777" w:rsidR="006E2320" w:rsidRPr="00E63888" w:rsidRDefault="006E2320" w:rsidP="006E2320">
      <w:pPr>
        <w:pStyle w:val="Heading1"/>
        <w:rPr>
          <w:lang w:val="en-GB"/>
        </w:rPr>
      </w:pPr>
      <w:r w:rsidRPr="00E63888">
        <w:rPr>
          <w:lang w:val="en-GB"/>
        </w:rPr>
        <w:t>Chapter 4: Seeing in colour</w:t>
      </w:r>
    </w:p>
    <w:p w14:paraId="1056BD02" w14:textId="77777777" w:rsidR="003B7827" w:rsidRPr="00E63888" w:rsidRDefault="007A3AB0" w:rsidP="00E63888">
      <w:pPr>
        <w:pStyle w:val="Heading2"/>
        <w:rPr>
          <w:lang w:val="en-GB"/>
        </w:rPr>
      </w:pPr>
      <w:proofErr w:type="gramStart"/>
      <w:r w:rsidRPr="00E63888">
        <w:rPr>
          <w:lang w:val="en-GB"/>
        </w:rPr>
        <w:t>Key note</w:t>
      </w:r>
      <w:proofErr w:type="gramEnd"/>
      <w:r w:rsidRPr="00E63888">
        <w:rPr>
          <w:lang w:val="en-GB"/>
        </w:rPr>
        <w:t xml:space="preserve"> 4B: Differences in receptor sensitivity measured </w:t>
      </w:r>
      <w:r w:rsidRPr="00E63888">
        <w:rPr>
          <w:i/>
          <w:iCs/>
          <w:lang w:val="en-GB"/>
        </w:rPr>
        <w:t>in vivo</w:t>
      </w:r>
      <w:r w:rsidRPr="00E63888">
        <w:rPr>
          <w:lang w:val="en-GB"/>
        </w:rPr>
        <w:t xml:space="preserve"> and </w:t>
      </w:r>
      <w:r w:rsidRPr="00E63888">
        <w:rPr>
          <w:i/>
          <w:iCs/>
          <w:lang w:val="en-GB"/>
        </w:rPr>
        <w:t>in vitro</w:t>
      </w:r>
    </w:p>
    <w:p w14:paraId="3F59AB94" w14:textId="08E3B994" w:rsidR="007A3AB0" w:rsidRPr="00E63888" w:rsidRDefault="002C4C56">
      <w:pPr>
        <w:rPr>
          <w:lang w:val="en-GB"/>
        </w:rPr>
      </w:pPr>
      <w:r w:rsidRPr="00E63888">
        <w:rPr>
          <w:lang w:val="en-GB"/>
        </w:rPr>
        <w:t xml:space="preserve">In studies of colour vision, cone sensitivities are measured in the living human eye, </w:t>
      </w:r>
      <w:proofErr w:type="gramStart"/>
      <w:r w:rsidRPr="00E63888">
        <w:rPr>
          <w:lang w:val="en-GB"/>
        </w:rPr>
        <w:t>and also</w:t>
      </w:r>
      <w:proofErr w:type="gramEnd"/>
      <w:r w:rsidRPr="00E63888">
        <w:rPr>
          <w:lang w:val="en-GB"/>
        </w:rPr>
        <w:t xml:space="preserve"> in the test tube.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>This note describes some reasons why the methods might give different results</w:t>
      </w:r>
      <w:r w:rsidR="00E70D80">
        <w:rPr>
          <w:lang w:val="en-GB"/>
        </w:rPr>
        <w:t>.</w:t>
      </w:r>
    </w:p>
    <w:p w14:paraId="2DFB6C16" w14:textId="0EF43D5B" w:rsidR="003B7827" w:rsidRDefault="002C4C56" w:rsidP="00E63888">
      <w:pPr>
        <w:ind w:firstLine="360"/>
        <w:rPr>
          <w:lang w:val="en-GB"/>
        </w:rPr>
      </w:pPr>
      <w:r w:rsidRPr="00E63888">
        <w:rPr>
          <w:lang w:val="en-GB"/>
        </w:rPr>
        <w:t>As noted in Chapter 4 of the book, Meebs and Nathans (1992) measured the absorbance spectra of pigments in cell cultures, finding that if the amino acid occupying a particular position (180) on the red pigment gene was alanine, the pigment’s peak sensitivity was at 552.4</w:t>
      </w:r>
      <w:r w:rsidR="00E63888">
        <w:rPr>
          <w:rFonts w:ascii="Arial" w:hAnsi="Arial" w:cs="Arial"/>
          <w:color w:val="0000FF"/>
          <w:lang w:val="en-GB"/>
        </w:rPr>
        <w:t xml:space="preserve"> </w:t>
      </w:r>
      <w:r w:rsidRPr="00E63888">
        <w:rPr>
          <w:lang w:val="en-GB"/>
        </w:rPr>
        <w:t>nm, whereas if it was serine, peak sensitivity was at 556.7</w:t>
      </w:r>
      <w:r w:rsidR="00E63888">
        <w:rPr>
          <w:lang w:val="en-GB"/>
        </w:rPr>
        <w:t xml:space="preserve"> nm</w:t>
      </w:r>
      <w:r w:rsidRPr="00E63888">
        <w:rPr>
          <w:lang w:val="en-GB"/>
        </w:rPr>
        <w:t>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>Like Meebs and Nathans, Sharpe et al</w:t>
      </w:r>
      <w:r w:rsidR="00EB488F">
        <w:rPr>
          <w:lang w:val="en-GB"/>
        </w:rPr>
        <w:t>.</w:t>
      </w:r>
      <w:r w:rsidRPr="00E63888">
        <w:rPr>
          <w:lang w:val="en-GB"/>
        </w:rPr>
        <w:t xml:space="preserve"> (1998), using a psychophysical method, found a shift of peak sensitivity to longer wavelengths when serine rather than alanine occupied position 180 on the red pigment gene, though the size of the shift (2.4</w:t>
      </w:r>
      <w:r w:rsidR="00E63888">
        <w:rPr>
          <w:rFonts w:ascii="Arial" w:hAnsi="Arial" w:cs="Arial"/>
          <w:color w:val="0000FF"/>
          <w:lang w:val="en-GB"/>
        </w:rPr>
        <w:t xml:space="preserve"> </w:t>
      </w:r>
      <w:r w:rsidRPr="00E63888">
        <w:rPr>
          <w:lang w:val="en-GB"/>
        </w:rPr>
        <w:t>nm) and peak sensitivities (alanine 557.9</w:t>
      </w:r>
      <w:r w:rsidR="00E63888">
        <w:rPr>
          <w:rFonts w:ascii="Arial" w:hAnsi="Arial" w:cs="Arial"/>
          <w:color w:val="0000FF"/>
          <w:lang w:val="en-GB"/>
        </w:rPr>
        <w:t xml:space="preserve"> </w:t>
      </w:r>
      <w:r w:rsidRPr="00E63888">
        <w:rPr>
          <w:lang w:val="en-GB"/>
        </w:rPr>
        <w:t>nm, serine 560.3</w:t>
      </w:r>
      <w:r w:rsidR="00E63888">
        <w:rPr>
          <w:rFonts w:ascii="Arial" w:hAnsi="Arial" w:cs="Arial"/>
          <w:color w:val="0000FF"/>
          <w:lang w:val="en-GB"/>
        </w:rPr>
        <w:t xml:space="preserve"> </w:t>
      </w:r>
      <w:r w:rsidRPr="00E63888">
        <w:rPr>
          <w:lang w:val="en-GB"/>
        </w:rPr>
        <w:t>nm) were somewhat different.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>Sharpe et al</w:t>
      </w:r>
      <w:r w:rsidR="00F3572C">
        <w:rPr>
          <w:lang w:val="en-GB"/>
        </w:rPr>
        <w:t>.</w:t>
      </w:r>
      <w:r w:rsidRPr="00E63888">
        <w:rPr>
          <w:lang w:val="en-GB"/>
        </w:rPr>
        <w:t xml:space="preserve"> (1999) point to some reasons why </w:t>
      </w:r>
      <w:r w:rsidRPr="00E63888">
        <w:rPr>
          <w:i/>
          <w:iCs/>
          <w:lang w:val="en-GB"/>
        </w:rPr>
        <w:t>in vitro</w:t>
      </w:r>
      <w:r w:rsidRPr="00E63888">
        <w:rPr>
          <w:lang w:val="en-GB"/>
        </w:rPr>
        <w:t xml:space="preserve"> and </w:t>
      </w:r>
      <w:r w:rsidRPr="00E63888">
        <w:rPr>
          <w:i/>
          <w:iCs/>
          <w:lang w:val="en-GB"/>
        </w:rPr>
        <w:t>in vivo</w:t>
      </w:r>
      <w:r w:rsidRPr="00E63888">
        <w:rPr>
          <w:lang w:val="en-GB"/>
        </w:rPr>
        <w:t xml:space="preserve"> measurements might differ.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 xml:space="preserve">In the living eye, light </w:t>
      </w:r>
      <w:proofErr w:type="gramStart"/>
      <w:r w:rsidRPr="00E63888">
        <w:rPr>
          <w:lang w:val="en-GB"/>
        </w:rPr>
        <w:t>has to</w:t>
      </w:r>
      <w:proofErr w:type="gramEnd"/>
      <w:r w:rsidRPr="00E63888">
        <w:rPr>
          <w:lang w:val="en-GB"/>
        </w:rPr>
        <w:t xml:space="preserve"> pass through the optical media before it reaches the photoreceptors.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>As a person ages, the lens of the eye gradually becomes more yellow rather than completely transparent (a process which in the extreme leads to a cataract – see Chapter 15).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 xml:space="preserve">The fovea, in which cones are most dense, lies at the centre of the macula, a disc-shaped area which appears yellow as one looks </w:t>
      </w:r>
      <w:proofErr w:type="gramStart"/>
      <w:r w:rsidRPr="00E63888">
        <w:rPr>
          <w:lang w:val="en-GB"/>
        </w:rPr>
        <w:t>in to</w:t>
      </w:r>
      <w:proofErr w:type="gramEnd"/>
      <w:r w:rsidRPr="00E63888">
        <w:rPr>
          <w:lang w:val="en-GB"/>
        </w:rPr>
        <w:t xml:space="preserve"> the eye with an ophthalmoscope.</w:t>
      </w:r>
      <w:r w:rsidR="005D7235" w:rsidRPr="00E63888">
        <w:rPr>
          <w:lang w:val="en-GB"/>
        </w:rPr>
        <w:t xml:space="preserve"> </w:t>
      </w:r>
      <w:r w:rsidRPr="00E63888">
        <w:rPr>
          <w:lang w:val="en-GB"/>
        </w:rPr>
        <w:t xml:space="preserve">The yellow appearance is produced by the macular pigment, which may have a role in protecting the cones from ultra-violet radiation. The effects of the yellowing lens and the macular pigment (which are absent in </w:t>
      </w:r>
      <w:r w:rsidRPr="00E63888">
        <w:rPr>
          <w:i/>
          <w:iCs/>
          <w:lang w:val="en-GB"/>
        </w:rPr>
        <w:t>in vitro</w:t>
      </w:r>
      <w:r w:rsidRPr="00E63888">
        <w:rPr>
          <w:lang w:val="en-GB"/>
        </w:rPr>
        <w:t xml:space="preserve"> measurements) will be to attenuate short and medium wavelengths before they reach the cones, and so may affect measured peak sensitivities to wavelength in the living eye.</w:t>
      </w:r>
    </w:p>
    <w:p w14:paraId="4AE27B30" w14:textId="77777777" w:rsidR="00E63888" w:rsidRPr="00E63888" w:rsidRDefault="00E63888" w:rsidP="00E63888">
      <w:pPr>
        <w:ind w:firstLine="360"/>
        <w:rPr>
          <w:lang w:val="en-GB"/>
        </w:rPr>
      </w:pPr>
    </w:p>
    <w:p w14:paraId="1A42826C" w14:textId="08C411AA" w:rsidR="00E63888" w:rsidRPr="00E63888" w:rsidRDefault="00E63888" w:rsidP="00E63888">
      <w:pPr>
        <w:ind w:left="720" w:hanging="360"/>
        <w:rPr>
          <w:lang w:val="en-GB"/>
        </w:rPr>
      </w:pPr>
      <w:proofErr w:type="spellStart"/>
      <w:r w:rsidRPr="00E63888">
        <w:rPr>
          <w:lang w:val="en-GB"/>
        </w:rPr>
        <w:lastRenderedPageBreak/>
        <w:t>Meebs</w:t>
      </w:r>
      <w:proofErr w:type="spellEnd"/>
      <w:r w:rsidRPr="00E63888">
        <w:rPr>
          <w:lang w:val="en-GB"/>
        </w:rPr>
        <w:t xml:space="preserve"> SL, Nathans J (1992) Absorption spectra of the hybrid pigments responsible for anomalous</w:t>
      </w:r>
      <w:r>
        <w:rPr>
          <w:lang w:val="en-GB"/>
        </w:rPr>
        <w:t xml:space="preserve"> </w:t>
      </w:r>
      <w:r w:rsidRPr="00E63888">
        <w:rPr>
          <w:lang w:val="en-GB"/>
        </w:rPr>
        <w:t>colour vision. Science 258: 464–466.</w:t>
      </w:r>
    </w:p>
    <w:p w14:paraId="1F0B3C5D" w14:textId="727B9BBE" w:rsidR="003B7827" w:rsidRPr="00E63888" w:rsidRDefault="002C4C56" w:rsidP="00E63888">
      <w:pPr>
        <w:ind w:left="720" w:hanging="360"/>
        <w:rPr>
          <w:bCs/>
          <w:lang w:val="en-GB"/>
        </w:rPr>
      </w:pPr>
      <w:r w:rsidRPr="00E63888">
        <w:rPr>
          <w:bCs/>
          <w:lang w:val="en-GB"/>
        </w:rPr>
        <w:t>Sharpe LT,</w:t>
      </w:r>
      <w:r w:rsidRPr="00E63888">
        <w:rPr>
          <w:lang w:val="en-GB"/>
        </w:rPr>
        <w:t xml:space="preserve"> </w:t>
      </w:r>
      <w:r w:rsidRPr="00E63888">
        <w:rPr>
          <w:bCs/>
          <w:lang w:val="en-GB"/>
        </w:rPr>
        <w:t>Stockman A, Jaegle H,</w:t>
      </w:r>
      <w:r w:rsidRPr="00E63888">
        <w:rPr>
          <w:lang w:val="en-GB"/>
        </w:rPr>
        <w:t xml:space="preserve"> </w:t>
      </w:r>
      <w:r w:rsidRPr="00E63888">
        <w:rPr>
          <w:bCs/>
          <w:lang w:val="en-GB"/>
        </w:rPr>
        <w:t>Knau H,</w:t>
      </w:r>
      <w:r w:rsidRPr="00E63888">
        <w:rPr>
          <w:lang w:val="en-GB"/>
        </w:rPr>
        <w:t xml:space="preserve"> </w:t>
      </w:r>
      <w:r w:rsidRPr="00E63888">
        <w:rPr>
          <w:bCs/>
          <w:lang w:val="en-GB"/>
        </w:rPr>
        <w:t>Klausen G,</w:t>
      </w:r>
      <w:r w:rsidRPr="00E63888">
        <w:rPr>
          <w:lang w:val="en-GB"/>
        </w:rPr>
        <w:t xml:space="preserve"> </w:t>
      </w:r>
      <w:r w:rsidRPr="00E63888">
        <w:rPr>
          <w:bCs/>
          <w:lang w:val="en-GB"/>
        </w:rPr>
        <w:t>Reitner A, Nathans</w:t>
      </w:r>
      <w:r w:rsidRPr="00E63888">
        <w:rPr>
          <w:lang w:val="en-GB"/>
        </w:rPr>
        <w:t xml:space="preserve"> J</w:t>
      </w:r>
      <w:r w:rsidR="00E5783F" w:rsidRPr="00E63888">
        <w:rPr>
          <w:lang w:val="en-GB"/>
        </w:rPr>
        <w:t xml:space="preserve"> </w:t>
      </w:r>
      <w:r w:rsidRPr="00E63888">
        <w:rPr>
          <w:bCs/>
          <w:lang w:val="en-GB"/>
        </w:rPr>
        <w:t>(1998) Red, green, and red-green hybrid pigments in the human retina: correlations between deduced protein sequences and psychophysically measured spectral sensitivities.</w:t>
      </w:r>
      <w:r w:rsidR="00466FB0" w:rsidRPr="00E63888">
        <w:rPr>
          <w:bCs/>
          <w:lang w:val="en-GB"/>
        </w:rPr>
        <w:t xml:space="preserve"> </w:t>
      </w:r>
      <w:r w:rsidRPr="00E63888">
        <w:rPr>
          <w:bCs/>
          <w:i/>
          <w:iCs/>
          <w:lang w:val="en-GB"/>
        </w:rPr>
        <w:t>Journal of Neuroscience</w:t>
      </w:r>
      <w:r w:rsidRPr="00E63888">
        <w:rPr>
          <w:bCs/>
          <w:lang w:val="en-GB"/>
        </w:rPr>
        <w:t xml:space="preserve"> </w:t>
      </w:r>
      <w:r w:rsidRPr="00E63888">
        <w:rPr>
          <w:bCs/>
          <w:iCs/>
          <w:lang w:val="en-GB"/>
        </w:rPr>
        <w:t>18</w:t>
      </w:r>
      <w:r w:rsidRPr="00E63888">
        <w:rPr>
          <w:bCs/>
          <w:lang w:val="en-GB"/>
        </w:rPr>
        <w:t>(23): 10053–10069</w:t>
      </w:r>
      <w:r w:rsidR="00466FB0" w:rsidRPr="00E63888">
        <w:rPr>
          <w:bCs/>
          <w:lang w:val="en-GB"/>
        </w:rPr>
        <w:t>.</w:t>
      </w:r>
    </w:p>
    <w:p w14:paraId="600CA884" w14:textId="0782E82A" w:rsidR="003B7827" w:rsidRPr="00E63888" w:rsidRDefault="002C4C56" w:rsidP="00E63888">
      <w:pPr>
        <w:ind w:left="720" w:hanging="360"/>
        <w:rPr>
          <w:lang w:val="en-GB"/>
        </w:rPr>
      </w:pPr>
      <w:r w:rsidRPr="00E63888">
        <w:rPr>
          <w:rStyle w:val="citation"/>
          <w:szCs w:val="20"/>
          <w:lang w:val="en-GB"/>
        </w:rPr>
        <w:t xml:space="preserve">Sharpe LT, </w:t>
      </w:r>
      <w:r w:rsidR="003B7827" w:rsidRPr="00E63888">
        <w:rPr>
          <w:bCs/>
          <w:lang w:val="en-GB"/>
        </w:rPr>
        <w:t>Stockman</w:t>
      </w:r>
      <w:r w:rsidRPr="00E63888">
        <w:rPr>
          <w:rStyle w:val="citation"/>
          <w:szCs w:val="20"/>
          <w:lang w:val="en-GB"/>
        </w:rPr>
        <w:t xml:space="preserve"> A, Jaegle H, Nathans J (1999)</w:t>
      </w:r>
      <w:r w:rsidR="005D7235" w:rsidRPr="00E63888">
        <w:rPr>
          <w:rStyle w:val="citation"/>
          <w:szCs w:val="20"/>
          <w:lang w:val="en-GB"/>
        </w:rPr>
        <w:t xml:space="preserve"> </w:t>
      </w:r>
      <w:r w:rsidR="00ED56C1" w:rsidRPr="00E63888">
        <w:rPr>
          <w:rStyle w:val="Hyperlink"/>
          <w:color w:val="auto"/>
          <w:u w:val="none"/>
          <w:lang w:val="en-GB"/>
        </w:rPr>
        <w:t>Opsin genes, cone photopigments, color vision and color blindness</w:t>
      </w:r>
      <w:r w:rsidRPr="00E63888">
        <w:rPr>
          <w:rStyle w:val="citation"/>
          <w:szCs w:val="20"/>
          <w:lang w:val="en-GB"/>
        </w:rPr>
        <w:t xml:space="preserve">. In: </w:t>
      </w:r>
      <w:r w:rsidR="00D50821" w:rsidRPr="00E63888">
        <w:rPr>
          <w:rStyle w:val="citation"/>
          <w:szCs w:val="20"/>
          <w:lang w:val="en-GB"/>
        </w:rPr>
        <w:t xml:space="preserve">KR </w:t>
      </w:r>
      <w:proofErr w:type="spellStart"/>
      <w:r w:rsidRPr="00E63888">
        <w:rPr>
          <w:rStyle w:val="citation"/>
          <w:szCs w:val="20"/>
          <w:lang w:val="en-GB"/>
        </w:rPr>
        <w:t>Gegenfurtner</w:t>
      </w:r>
      <w:proofErr w:type="spellEnd"/>
      <w:r w:rsidRPr="00E63888">
        <w:rPr>
          <w:rStyle w:val="citation"/>
          <w:szCs w:val="20"/>
          <w:lang w:val="en-GB"/>
        </w:rPr>
        <w:t xml:space="preserve">, </w:t>
      </w:r>
      <w:r w:rsidR="00632C69" w:rsidRPr="00E63888">
        <w:rPr>
          <w:rStyle w:val="citation"/>
          <w:szCs w:val="20"/>
          <w:lang w:val="en-GB"/>
        </w:rPr>
        <w:t xml:space="preserve">LT </w:t>
      </w:r>
      <w:r w:rsidRPr="00E63888">
        <w:rPr>
          <w:rStyle w:val="citation"/>
          <w:szCs w:val="20"/>
          <w:lang w:val="en-GB"/>
        </w:rPr>
        <w:t>Sharpe (eds)</w:t>
      </w:r>
      <w:r w:rsidR="00454CF6" w:rsidRPr="00E63888">
        <w:rPr>
          <w:rStyle w:val="citation"/>
          <w:szCs w:val="20"/>
          <w:lang w:val="en-GB"/>
        </w:rPr>
        <w:t>,</w:t>
      </w:r>
      <w:r w:rsidRPr="00E63888">
        <w:rPr>
          <w:rStyle w:val="citation"/>
          <w:szCs w:val="20"/>
          <w:lang w:val="en-GB"/>
        </w:rPr>
        <w:t xml:space="preserve"> </w:t>
      </w:r>
      <w:proofErr w:type="spellStart"/>
      <w:r w:rsidRPr="00E63888">
        <w:rPr>
          <w:rStyle w:val="citation"/>
          <w:i/>
          <w:szCs w:val="20"/>
          <w:lang w:val="en-GB"/>
        </w:rPr>
        <w:t>Color</w:t>
      </w:r>
      <w:proofErr w:type="spellEnd"/>
      <w:r w:rsidRPr="00E63888">
        <w:rPr>
          <w:rStyle w:val="citation"/>
          <w:i/>
          <w:szCs w:val="20"/>
          <w:lang w:val="en-GB"/>
        </w:rPr>
        <w:t xml:space="preserve"> vision: from genes to perception</w:t>
      </w:r>
      <w:r w:rsidR="003B7827" w:rsidRPr="00E63888">
        <w:rPr>
          <w:lang w:val="en-GB"/>
        </w:rPr>
        <w:t xml:space="preserve">. </w:t>
      </w:r>
      <w:r w:rsidR="00393988" w:rsidRPr="00FD2E1C">
        <w:rPr>
          <w:rStyle w:val="Hyperlink"/>
          <w:color w:val="auto"/>
          <w:u w:val="none"/>
          <w:lang w:val="en-GB"/>
        </w:rPr>
        <w:t>Cambridge</w:t>
      </w:r>
      <w:r w:rsidR="00393988">
        <w:rPr>
          <w:rStyle w:val="Hyperlink"/>
          <w:color w:val="auto"/>
          <w:u w:val="none"/>
          <w:lang w:val="en-GB"/>
        </w:rPr>
        <w:t xml:space="preserve">: </w:t>
      </w:r>
      <w:r w:rsidR="00ED56C1" w:rsidRPr="00E63888">
        <w:rPr>
          <w:rStyle w:val="Hyperlink"/>
          <w:color w:val="auto"/>
          <w:u w:val="none"/>
          <w:lang w:val="en-GB"/>
        </w:rPr>
        <w:t>Cambridge University Press</w:t>
      </w:r>
      <w:r w:rsidR="005F7859" w:rsidRPr="00E63888">
        <w:rPr>
          <w:rStyle w:val="Hyperlink"/>
          <w:color w:val="auto"/>
          <w:u w:val="none"/>
          <w:lang w:val="en-GB"/>
        </w:rPr>
        <w:t>, pp</w:t>
      </w:r>
      <w:r w:rsidR="00F26EFC" w:rsidRPr="00E63888">
        <w:rPr>
          <w:rStyle w:val="Hyperlink"/>
          <w:color w:val="auto"/>
          <w:u w:val="none"/>
          <w:lang w:val="en-GB"/>
        </w:rPr>
        <w:t>.</w:t>
      </w:r>
      <w:r w:rsidR="005F7859" w:rsidRPr="00E63888">
        <w:rPr>
          <w:rStyle w:val="Hyperlink"/>
          <w:color w:val="auto"/>
          <w:u w:val="none"/>
          <w:lang w:val="en-GB"/>
        </w:rPr>
        <w:t xml:space="preserve"> 3</w:t>
      </w:r>
      <w:r w:rsidR="00F26EFC" w:rsidRPr="00E63888">
        <w:rPr>
          <w:rStyle w:val="Hyperlink"/>
          <w:color w:val="auto"/>
          <w:u w:val="none"/>
          <w:lang w:val="en-GB"/>
        </w:rPr>
        <w:t>–</w:t>
      </w:r>
      <w:r w:rsidR="005F7859" w:rsidRPr="00E63888">
        <w:rPr>
          <w:rStyle w:val="Hyperlink"/>
          <w:color w:val="auto"/>
          <w:u w:val="none"/>
          <w:lang w:val="en-GB"/>
        </w:rPr>
        <w:t>52</w:t>
      </w:r>
      <w:r w:rsidR="00F26EFC" w:rsidRPr="00E63888">
        <w:rPr>
          <w:rStyle w:val="Hyperlink"/>
          <w:color w:val="auto"/>
          <w:u w:val="none"/>
          <w:lang w:val="en-GB"/>
        </w:rPr>
        <w:t>.</w:t>
      </w:r>
    </w:p>
    <w:sectPr w:rsidR="003B7827" w:rsidRPr="00E63888" w:rsidSect="00D83A68">
      <w:headerReference w:type="default" r:id="rId8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4273" w14:textId="77777777" w:rsidR="004B5140" w:rsidRDefault="004B5140">
      <w:r>
        <w:separator/>
      </w:r>
    </w:p>
  </w:endnote>
  <w:endnote w:type="continuationSeparator" w:id="0">
    <w:p w14:paraId="57AC865B" w14:textId="77777777" w:rsidR="004B5140" w:rsidRDefault="004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BDB9" w14:textId="77777777" w:rsidR="004B5140" w:rsidRDefault="004B5140">
      <w:r>
        <w:separator/>
      </w:r>
    </w:p>
  </w:footnote>
  <w:footnote w:type="continuationSeparator" w:id="0">
    <w:p w14:paraId="3804C32E" w14:textId="77777777" w:rsidR="004B5140" w:rsidRDefault="004B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E39" w14:textId="77777777" w:rsidR="004B5140" w:rsidRPr="0070463C" w:rsidRDefault="004B5140" w:rsidP="004B5140">
    <w:pPr>
      <w:jc w:val="right"/>
    </w:pPr>
    <w:r w:rsidRPr="004B5140">
      <w:t>Harris &amp; Smith</w:t>
    </w:r>
    <w:r>
      <w:t>,</w:t>
    </w:r>
    <w:r w:rsidRPr="004B5140">
      <w:t xml:space="preserve"> </w:t>
    </w:r>
    <w:r w:rsidRPr="009259FE">
      <w:rPr>
        <w:i/>
      </w:rPr>
      <w:t>Sensation and Perception, 2e</w:t>
    </w:r>
  </w:p>
  <w:p w14:paraId="3236FB69" w14:textId="77777777" w:rsidR="004762E3" w:rsidRPr="006F059D" w:rsidRDefault="006F059D" w:rsidP="004B5140">
    <w:pPr>
      <w:pStyle w:val="Header"/>
      <w:jc w:val="right"/>
    </w:pPr>
    <w:r w:rsidRPr="0050025D">
      <w:t>SAGE Publishing, 202</w:t>
    </w:r>
    <w:r w:rsidR="004B514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772465">
    <w:abstractNumId w:val="5"/>
  </w:num>
  <w:num w:numId="2" w16cid:durableId="2123643025">
    <w:abstractNumId w:val="11"/>
  </w:num>
  <w:num w:numId="3" w16cid:durableId="1329015135">
    <w:abstractNumId w:val="8"/>
  </w:num>
  <w:num w:numId="4" w16cid:durableId="2035425612">
    <w:abstractNumId w:val="6"/>
  </w:num>
  <w:num w:numId="5" w16cid:durableId="526913562">
    <w:abstractNumId w:val="7"/>
  </w:num>
  <w:num w:numId="6" w16cid:durableId="182479567">
    <w:abstractNumId w:val="4"/>
  </w:num>
  <w:num w:numId="7" w16cid:durableId="1185091235">
    <w:abstractNumId w:val="2"/>
  </w:num>
  <w:num w:numId="8" w16cid:durableId="353844802">
    <w:abstractNumId w:val="1"/>
  </w:num>
  <w:num w:numId="9" w16cid:durableId="329873228">
    <w:abstractNumId w:val="0"/>
  </w:num>
  <w:num w:numId="10" w16cid:durableId="705328461">
    <w:abstractNumId w:val="3"/>
  </w:num>
  <w:num w:numId="11" w16cid:durableId="2130657494">
    <w:abstractNumId w:val="9"/>
  </w:num>
  <w:num w:numId="12" w16cid:durableId="1257709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1D"/>
    <w:rsid w:val="00011AF2"/>
    <w:rsid w:val="00024CB8"/>
    <w:rsid w:val="00033437"/>
    <w:rsid w:val="00056441"/>
    <w:rsid w:val="000629BA"/>
    <w:rsid w:val="00063648"/>
    <w:rsid w:val="00071827"/>
    <w:rsid w:val="00071E65"/>
    <w:rsid w:val="000F388C"/>
    <w:rsid w:val="00145800"/>
    <w:rsid w:val="0015405F"/>
    <w:rsid w:val="0017404C"/>
    <w:rsid w:val="00185227"/>
    <w:rsid w:val="0018636C"/>
    <w:rsid w:val="00186600"/>
    <w:rsid w:val="001A239F"/>
    <w:rsid w:val="001A24F9"/>
    <w:rsid w:val="001B761C"/>
    <w:rsid w:val="001F7343"/>
    <w:rsid w:val="00201B66"/>
    <w:rsid w:val="00227074"/>
    <w:rsid w:val="0026348E"/>
    <w:rsid w:val="00272B2E"/>
    <w:rsid w:val="002A3BD3"/>
    <w:rsid w:val="002C44D0"/>
    <w:rsid w:val="002C4C56"/>
    <w:rsid w:val="002D0F36"/>
    <w:rsid w:val="002D5319"/>
    <w:rsid w:val="002F62BA"/>
    <w:rsid w:val="00305E1D"/>
    <w:rsid w:val="00327683"/>
    <w:rsid w:val="00331370"/>
    <w:rsid w:val="00361935"/>
    <w:rsid w:val="00363893"/>
    <w:rsid w:val="00365504"/>
    <w:rsid w:val="00370467"/>
    <w:rsid w:val="00393988"/>
    <w:rsid w:val="00393EAF"/>
    <w:rsid w:val="00396AD3"/>
    <w:rsid w:val="003B6091"/>
    <w:rsid w:val="003B7827"/>
    <w:rsid w:val="003C153A"/>
    <w:rsid w:val="003C4235"/>
    <w:rsid w:val="003E708D"/>
    <w:rsid w:val="003E7BF7"/>
    <w:rsid w:val="003F0E55"/>
    <w:rsid w:val="004038A4"/>
    <w:rsid w:val="0041308D"/>
    <w:rsid w:val="00443452"/>
    <w:rsid w:val="0045411D"/>
    <w:rsid w:val="00454CF6"/>
    <w:rsid w:val="00466FB0"/>
    <w:rsid w:val="004762E3"/>
    <w:rsid w:val="004817D8"/>
    <w:rsid w:val="00486A8A"/>
    <w:rsid w:val="004A1135"/>
    <w:rsid w:val="004B17D5"/>
    <w:rsid w:val="004B5140"/>
    <w:rsid w:val="004C7FAF"/>
    <w:rsid w:val="004E02C0"/>
    <w:rsid w:val="004E5CF4"/>
    <w:rsid w:val="00500B36"/>
    <w:rsid w:val="00533876"/>
    <w:rsid w:val="0053536D"/>
    <w:rsid w:val="00542CC3"/>
    <w:rsid w:val="005646CF"/>
    <w:rsid w:val="0058171D"/>
    <w:rsid w:val="00582851"/>
    <w:rsid w:val="00593132"/>
    <w:rsid w:val="005D7235"/>
    <w:rsid w:val="005F01DC"/>
    <w:rsid w:val="005F7859"/>
    <w:rsid w:val="006079C1"/>
    <w:rsid w:val="00616A17"/>
    <w:rsid w:val="00632C69"/>
    <w:rsid w:val="00637127"/>
    <w:rsid w:val="006376F7"/>
    <w:rsid w:val="006537C0"/>
    <w:rsid w:val="00661127"/>
    <w:rsid w:val="0067627F"/>
    <w:rsid w:val="0069184C"/>
    <w:rsid w:val="006C7443"/>
    <w:rsid w:val="006D1107"/>
    <w:rsid w:val="006E1D22"/>
    <w:rsid w:val="006E2320"/>
    <w:rsid w:val="006F059D"/>
    <w:rsid w:val="006F43FC"/>
    <w:rsid w:val="0070463C"/>
    <w:rsid w:val="0072507A"/>
    <w:rsid w:val="007323AC"/>
    <w:rsid w:val="007557A1"/>
    <w:rsid w:val="00761723"/>
    <w:rsid w:val="00764265"/>
    <w:rsid w:val="00793F62"/>
    <w:rsid w:val="007A3AB0"/>
    <w:rsid w:val="007B2823"/>
    <w:rsid w:val="007B669D"/>
    <w:rsid w:val="007F47BC"/>
    <w:rsid w:val="00804E85"/>
    <w:rsid w:val="00811EC9"/>
    <w:rsid w:val="00812742"/>
    <w:rsid w:val="00852986"/>
    <w:rsid w:val="00870008"/>
    <w:rsid w:val="00876836"/>
    <w:rsid w:val="00886ADF"/>
    <w:rsid w:val="008978D0"/>
    <w:rsid w:val="008B339D"/>
    <w:rsid w:val="008C4617"/>
    <w:rsid w:val="008D029E"/>
    <w:rsid w:val="008E1C80"/>
    <w:rsid w:val="008E46E0"/>
    <w:rsid w:val="008F6092"/>
    <w:rsid w:val="009259FE"/>
    <w:rsid w:val="00931319"/>
    <w:rsid w:val="00942ED7"/>
    <w:rsid w:val="00956287"/>
    <w:rsid w:val="0096128C"/>
    <w:rsid w:val="00963D40"/>
    <w:rsid w:val="00974AA9"/>
    <w:rsid w:val="00991CF3"/>
    <w:rsid w:val="009A26D5"/>
    <w:rsid w:val="009A40A6"/>
    <w:rsid w:val="009B2FE8"/>
    <w:rsid w:val="009B7BBD"/>
    <w:rsid w:val="009D4FCF"/>
    <w:rsid w:val="00A059F3"/>
    <w:rsid w:val="00A1465F"/>
    <w:rsid w:val="00A27486"/>
    <w:rsid w:val="00A324FE"/>
    <w:rsid w:val="00A44E55"/>
    <w:rsid w:val="00A77424"/>
    <w:rsid w:val="00A84C45"/>
    <w:rsid w:val="00AB42AC"/>
    <w:rsid w:val="00AD5452"/>
    <w:rsid w:val="00AD5E2E"/>
    <w:rsid w:val="00AF0C3C"/>
    <w:rsid w:val="00AF311C"/>
    <w:rsid w:val="00AF4F8B"/>
    <w:rsid w:val="00B164AA"/>
    <w:rsid w:val="00B31FED"/>
    <w:rsid w:val="00B34AEB"/>
    <w:rsid w:val="00B36615"/>
    <w:rsid w:val="00B42E08"/>
    <w:rsid w:val="00B73564"/>
    <w:rsid w:val="00BB0C36"/>
    <w:rsid w:val="00C039B2"/>
    <w:rsid w:val="00C048E3"/>
    <w:rsid w:val="00C266E0"/>
    <w:rsid w:val="00C55F1A"/>
    <w:rsid w:val="00C6457F"/>
    <w:rsid w:val="00C8654C"/>
    <w:rsid w:val="00CB2339"/>
    <w:rsid w:val="00CD1179"/>
    <w:rsid w:val="00CE06A4"/>
    <w:rsid w:val="00CE414B"/>
    <w:rsid w:val="00CF39F3"/>
    <w:rsid w:val="00CF5F08"/>
    <w:rsid w:val="00D10BC5"/>
    <w:rsid w:val="00D33536"/>
    <w:rsid w:val="00D37AF2"/>
    <w:rsid w:val="00D4588F"/>
    <w:rsid w:val="00D46302"/>
    <w:rsid w:val="00D50821"/>
    <w:rsid w:val="00D61BCA"/>
    <w:rsid w:val="00D667AA"/>
    <w:rsid w:val="00D83A68"/>
    <w:rsid w:val="00D83B2C"/>
    <w:rsid w:val="00D8701F"/>
    <w:rsid w:val="00DA246F"/>
    <w:rsid w:val="00DF6DAE"/>
    <w:rsid w:val="00E06479"/>
    <w:rsid w:val="00E13251"/>
    <w:rsid w:val="00E21D27"/>
    <w:rsid w:val="00E352E1"/>
    <w:rsid w:val="00E52712"/>
    <w:rsid w:val="00E5783F"/>
    <w:rsid w:val="00E63888"/>
    <w:rsid w:val="00E70D80"/>
    <w:rsid w:val="00E74418"/>
    <w:rsid w:val="00EB488F"/>
    <w:rsid w:val="00EC67A7"/>
    <w:rsid w:val="00EC6AC2"/>
    <w:rsid w:val="00ED56C1"/>
    <w:rsid w:val="00F01A6C"/>
    <w:rsid w:val="00F25E6B"/>
    <w:rsid w:val="00F26EFC"/>
    <w:rsid w:val="00F3572C"/>
    <w:rsid w:val="00F4373D"/>
    <w:rsid w:val="00F54DB9"/>
    <w:rsid w:val="00F61361"/>
    <w:rsid w:val="00F70E90"/>
    <w:rsid w:val="00F7153D"/>
    <w:rsid w:val="00F77A8F"/>
    <w:rsid w:val="00F94748"/>
    <w:rsid w:val="00F9515B"/>
    <w:rsid w:val="00FC3440"/>
    <w:rsid w:val="00FD6C0D"/>
    <w:rsid w:val="00FE64DE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1186589"/>
  <w15:docId w15:val="{C10E423A-E2D1-4CD5-ABD0-A927925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BD3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E1C80"/>
    <w:pPr>
      <w:keepNext/>
      <w:keepLines/>
      <w:spacing w:before="100" w:after="100"/>
      <w:outlineLvl w:val="0"/>
    </w:pPr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E2320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8E1C80"/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E2320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2C4C56"/>
  </w:style>
  <w:style w:type="character" w:styleId="FollowedHyperlink">
    <w:name w:val="FollowedHyperlink"/>
    <w:basedOn w:val="DefaultParagraphFont"/>
    <w:semiHidden/>
    <w:unhideWhenUsed/>
    <w:rsid w:val="00186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2FF1-7969-47F9-8A0F-1BE3413F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2569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</dc:creator>
  <cp:lastModifiedBy>Martin Fox</cp:lastModifiedBy>
  <cp:revision>52</cp:revision>
  <dcterms:created xsi:type="dcterms:W3CDTF">2022-04-06T11:45:00Z</dcterms:created>
  <dcterms:modified xsi:type="dcterms:W3CDTF">2022-04-25T07:53:00Z</dcterms:modified>
</cp:coreProperties>
</file>