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61A6D" w14:textId="77777777" w:rsidR="00F922D5" w:rsidRDefault="001B7B62" w:rsidP="00BF7DE4">
      <w:pPr>
        <w:pStyle w:val="Title"/>
      </w:pPr>
      <w:r w:rsidRPr="001B7B62">
        <w:t>Key Note</w:t>
      </w:r>
    </w:p>
    <w:p w14:paraId="08F0A88F" w14:textId="77777777" w:rsidR="00A874D9" w:rsidRDefault="00A874D9" w:rsidP="00BF7DE4">
      <w:pPr>
        <w:pStyle w:val="Heading1"/>
      </w:pPr>
      <w:r w:rsidRPr="00A874D9">
        <w:t>Chapter 6: Hearing</w:t>
      </w:r>
    </w:p>
    <w:p w14:paraId="137F3976" w14:textId="2B1F3967" w:rsidR="00F922D5" w:rsidRPr="00BF7DE4" w:rsidRDefault="00A73CB0" w:rsidP="00BF7DE4">
      <w:pPr>
        <w:pStyle w:val="Heading2"/>
      </w:pPr>
      <w:proofErr w:type="gramStart"/>
      <w:r w:rsidRPr="0033004E">
        <w:t>Key note</w:t>
      </w:r>
      <w:proofErr w:type="gramEnd"/>
      <w:r w:rsidRPr="0033004E">
        <w:t xml:space="preserve"> 6D</w:t>
      </w:r>
      <w:r w:rsidR="00A874D9">
        <w:t>:</w:t>
      </w:r>
      <w:r w:rsidRPr="00BF7DE4">
        <w:t xml:space="preserve"> The role of attention in auditory scene analysis</w:t>
      </w:r>
    </w:p>
    <w:p w14:paraId="12CC3099" w14:textId="110DA53A" w:rsidR="00F922D5" w:rsidRDefault="00CB5517" w:rsidP="00BF7DE4">
      <w:r w:rsidRPr="78BDFAB0">
        <w:rPr>
          <w:lang w:val="en-GB"/>
        </w:rPr>
        <w:t xml:space="preserve">It is widely accepted that attention plays a crucial role in auditory streaming, although the extent to which attentional processes are necessary for segregation remains an open question (Snyder </w:t>
      </w:r>
      <w:r w:rsidR="0033004E">
        <w:rPr>
          <w:lang w:val="en-GB"/>
        </w:rPr>
        <w:t>and</w:t>
      </w:r>
      <w:r w:rsidR="0033004E" w:rsidRPr="78BDFAB0">
        <w:rPr>
          <w:lang w:val="en-GB"/>
        </w:rPr>
        <w:t xml:space="preserve"> </w:t>
      </w:r>
      <w:proofErr w:type="spellStart"/>
      <w:r w:rsidRPr="78BDFAB0">
        <w:rPr>
          <w:lang w:val="en-GB"/>
        </w:rPr>
        <w:t>Elhilali</w:t>
      </w:r>
      <w:proofErr w:type="spellEnd"/>
      <w:r w:rsidRPr="78BDFAB0">
        <w:rPr>
          <w:lang w:val="en-GB"/>
        </w:rPr>
        <w:t xml:space="preserve">, 2017). Moore and </w:t>
      </w:r>
      <w:proofErr w:type="spellStart"/>
      <w:r w:rsidRPr="78BDFAB0">
        <w:rPr>
          <w:lang w:val="en-GB"/>
        </w:rPr>
        <w:t>Gockel</w:t>
      </w:r>
      <w:proofErr w:type="spellEnd"/>
      <w:r w:rsidRPr="78BDFAB0">
        <w:rPr>
          <w:lang w:val="en-GB"/>
        </w:rPr>
        <w:t xml:space="preserve"> (2012) concluded that the build-up of fission can be reduced by a switch of attention, and/or the absence of attention. Yerkes et al</w:t>
      </w:r>
      <w:r w:rsidR="00C0768A">
        <w:rPr>
          <w:lang w:val="en-GB"/>
        </w:rPr>
        <w:t>.</w:t>
      </w:r>
      <w:r w:rsidRPr="78BDFAB0">
        <w:rPr>
          <w:lang w:val="en-GB"/>
        </w:rPr>
        <w:t xml:space="preserve"> (2019) reported that the effect of a prior tone sequence with frequency separation on subsequent streaming judgments persisted when prior tone sequences were not (fully) attended to (via the employment of distractor tasks), although the effects were significantly reduced. A recent study that compared the neural responses of ferrets when they were either passively listening or actively attending to synchronous or alternating (asynchronous) sounds found enhanced responses and sensitivity elicited by synchronous tones in comparison to alternating tones. But these differences only emerged when the ferrets engaged in task performance were attentive to the stimuli (Lu et al.</w:t>
      </w:r>
      <w:r w:rsidR="00D74FD5">
        <w:rPr>
          <w:lang w:val="en-GB"/>
        </w:rPr>
        <w:t>,</w:t>
      </w:r>
      <w:r w:rsidRPr="78BDFAB0">
        <w:rPr>
          <w:lang w:val="en-GB"/>
        </w:rPr>
        <w:t xml:space="preserve"> 2017). More generally, evidence from human imaging studies investigating auditory streaming implicates primary and secondary auditory cortex (often involving Heschl’s gyrus) in addition to parietal cortical regions such as the precuneus and right intraparietal sulcus during segregation (for review see Snyder </w:t>
      </w:r>
      <w:r w:rsidR="00D74FD5">
        <w:rPr>
          <w:lang w:val="en-GB"/>
        </w:rPr>
        <w:t>and</w:t>
      </w:r>
      <w:r w:rsidR="00D74FD5" w:rsidRPr="78BDFAB0">
        <w:rPr>
          <w:lang w:val="en-GB"/>
        </w:rPr>
        <w:t xml:space="preserve"> </w:t>
      </w:r>
      <w:proofErr w:type="spellStart"/>
      <w:r w:rsidRPr="78BDFAB0">
        <w:rPr>
          <w:lang w:val="en-GB"/>
        </w:rPr>
        <w:t>Elhilali</w:t>
      </w:r>
      <w:proofErr w:type="spellEnd"/>
      <w:r w:rsidRPr="78BDFAB0">
        <w:rPr>
          <w:lang w:val="en-GB"/>
        </w:rPr>
        <w:t>, 2017). Thus, it is likely that stimulus-driven feature segregation and top-down attentional selection mechanisms converge in the auditory cortex whereby perceptual representations based on grouping and segregation of spectral, spatial and temporal regularities are formed (King et al</w:t>
      </w:r>
      <w:r w:rsidR="0063450A">
        <w:rPr>
          <w:lang w:val="en-GB"/>
        </w:rPr>
        <w:t>.</w:t>
      </w:r>
      <w:r w:rsidRPr="78BDFAB0">
        <w:rPr>
          <w:lang w:val="en-GB"/>
        </w:rPr>
        <w:t>, 2018; Shaama et al</w:t>
      </w:r>
      <w:r w:rsidR="005B1E96">
        <w:rPr>
          <w:lang w:val="en-GB"/>
        </w:rPr>
        <w:t>.</w:t>
      </w:r>
      <w:r w:rsidRPr="78BDFAB0">
        <w:rPr>
          <w:lang w:val="en-GB"/>
        </w:rPr>
        <w:t>, 2011).</w:t>
      </w:r>
    </w:p>
    <w:p w14:paraId="12A83E20" w14:textId="48294904" w:rsidR="00F922D5" w:rsidRDefault="00A73CB0" w:rsidP="00BF7DE4">
      <w:pPr>
        <w:ind w:left="720" w:hanging="360"/>
        <w:rPr>
          <w:lang w:val="en-GB"/>
        </w:rPr>
      </w:pPr>
      <w:r w:rsidRPr="00BF7DE4">
        <w:rPr>
          <w:lang w:val="en-GB"/>
        </w:rPr>
        <w:t xml:space="preserve">King AJ, </w:t>
      </w:r>
      <w:proofErr w:type="spellStart"/>
      <w:r w:rsidRPr="00BF7DE4">
        <w:rPr>
          <w:lang w:val="en-GB"/>
        </w:rPr>
        <w:t>Teki</w:t>
      </w:r>
      <w:proofErr w:type="spellEnd"/>
      <w:r w:rsidRPr="00BF7DE4">
        <w:rPr>
          <w:lang w:val="en-GB"/>
        </w:rPr>
        <w:t xml:space="preserve"> S, Willmore BD (2018) Recent advances in understanding the auditory cortex. F1000Research 2018, 7</w:t>
      </w:r>
      <w:r w:rsidRPr="00BF7DE4">
        <w:rPr>
          <w:bCs/>
          <w:lang w:val="en-GB"/>
        </w:rPr>
        <w:t xml:space="preserve"> </w:t>
      </w:r>
      <w:r w:rsidRPr="00BF7DE4">
        <w:rPr>
          <w:lang w:val="en-GB"/>
        </w:rPr>
        <w:t>(F1000 Faculty Rev): 1555</w:t>
      </w:r>
      <w:r w:rsidR="00092ED2">
        <w:rPr>
          <w:lang w:val="en-GB"/>
        </w:rPr>
        <w:t>.</w:t>
      </w:r>
    </w:p>
    <w:p w14:paraId="5B6404A6" w14:textId="52148EE6" w:rsidR="00F922D5" w:rsidRDefault="00A73CB0" w:rsidP="00BF7DE4">
      <w:pPr>
        <w:ind w:left="720" w:hanging="360"/>
        <w:rPr>
          <w:lang w:val="en-GB"/>
        </w:rPr>
      </w:pPr>
      <w:r w:rsidRPr="00BF7DE4">
        <w:rPr>
          <w:lang w:val="en-GB"/>
        </w:rPr>
        <w:t xml:space="preserve">Lu K, Xu Y, Yin P, Oxenham AJ, Fritz JB, Shamma SA (2017) Temporal coherence structure rapidly shapes neuronal interactions. </w:t>
      </w:r>
      <w:r w:rsidRPr="00BF7DE4">
        <w:rPr>
          <w:i/>
          <w:iCs/>
          <w:lang w:val="en-GB"/>
        </w:rPr>
        <w:t>Nature Communications</w:t>
      </w:r>
      <w:r w:rsidRPr="00BF7DE4">
        <w:rPr>
          <w:lang w:val="en-GB"/>
        </w:rPr>
        <w:t xml:space="preserve"> 8:13900</w:t>
      </w:r>
      <w:r w:rsidR="000F3D27">
        <w:rPr>
          <w:lang w:val="en-GB"/>
        </w:rPr>
        <w:t>.</w:t>
      </w:r>
    </w:p>
    <w:p w14:paraId="271348E5" w14:textId="53885313" w:rsidR="00F922D5" w:rsidRDefault="00A73CB0" w:rsidP="00BF7DE4">
      <w:pPr>
        <w:ind w:left="720" w:hanging="360"/>
      </w:pPr>
      <w:r w:rsidRPr="00BF7DE4">
        <w:rPr>
          <w:lang w:val="en-GB"/>
        </w:rPr>
        <w:lastRenderedPageBreak/>
        <w:t xml:space="preserve">Moore BCJ, Gockel HE (2012) Properties of auditory stream formation. </w:t>
      </w:r>
      <w:r w:rsidRPr="00BF7DE4">
        <w:rPr>
          <w:i/>
          <w:iCs/>
          <w:lang w:val="en-GB"/>
        </w:rPr>
        <w:t>Philosophical Transactions of the Royal Society B</w:t>
      </w:r>
      <w:r w:rsidRPr="00BF7DE4">
        <w:rPr>
          <w:lang w:val="en-GB"/>
        </w:rPr>
        <w:t xml:space="preserve"> 367: 919</w:t>
      </w:r>
      <w:r w:rsidR="00A37689">
        <w:rPr>
          <w:lang w:val="en-GB"/>
        </w:rPr>
        <w:t>–</w:t>
      </w:r>
      <w:r w:rsidRPr="00BF7DE4">
        <w:rPr>
          <w:lang w:val="en-GB"/>
        </w:rPr>
        <w:t>931</w:t>
      </w:r>
      <w:r w:rsidR="00A37689">
        <w:rPr>
          <w:lang w:val="en-GB"/>
        </w:rPr>
        <w:t>.</w:t>
      </w:r>
    </w:p>
    <w:p w14:paraId="29E044F2" w14:textId="619513CF" w:rsidR="00F922D5" w:rsidRDefault="00A73CB0" w:rsidP="00BF7DE4">
      <w:pPr>
        <w:ind w:left="720" w:hanging="360"/>
        <w:rPr>
          <w:lang w:val="en-GB"/>
        </w:rPr>
      </w:pPr>
      <w:r w:rsidRPr="00BF7DE4">
        <w:rPr>
          <w:lang w:val="en-GB"/>
        </w:rPr>
        <w:t xml:space="preserve">Shamma SA, Elhilali M, Micheyl C (2011) Temporal coherence and attention in auditory scene analysis. </w:t>
      </w:r>
      <w:r w:rsidRPr="00BF7DE4">
        <w:rPr>
          <w:i/>
          <w:iCs/>
          <w:lang w:val="en-GB"/>
        </w:rPr>
        <w:t>Trends in Neuroscience</w:t>
      </w:r>
      <w:r w:rsidRPr="00BF7DE4">
        <w:rPr>
          <w:lang w:val="en-GB"/>
        </w:rPr>
        <w:t xml:space="preserve"> 34:114–123</w:t>
      </w:r>
      <w:r w:rsidR="00D35BFA">
        <w:rPr>
          <w:lang w:val="en-GB"/>
        </w:rPr>
        <w:t>.</w:t>
      </w:r>
    </w:p>
    <w:p w14:paraId="1BC1C3E5" w14:textId="2FE7D1CD" w:rsidR="00F922D5" w:rsidRDefault="00A73CB0" w:rsidP="00BF7DE4">
      <w:pPr>
        <w:ind w:left="720" w:hanging="360"/>
        <w:rPr>
          <w:lang w:val="en-GB"/>
        </w:rPr>
      </w:pPr>
      <w:r w:rsidRPr="00BF7DE4">
        <w:rPr>
          <w:lang w:val="en-GB"/>
        </w:rPr>
        <w:t xml:space="preserve">Snyder JS, Elhilali M (2017) Recent advances in exploring the neural underpinnings of auditory scene perception. </w:t>
      </w:r>
      <w:r w:rsidRPr="00BF7DE4">
        <w:rPr>
          <w:i/>
          <w:iCs/>
          <w:lang w:val="en-GB"/>
        </w:rPr>
        <w:t>Annals of the New York Academy of Sciences</w:t>
      </w:r>
      <w:r w:rsidRPr="00BF7DE4">
        <w:rPr>
          <w:lang w:val="en-GB"/>
        </w:rPr>
        <w:t xml:space="preserve"> 1396(1): 39</w:t>
      </w:r>
      <w:r w:rsidR="000E6626">
        <w:rPr>
          <w:lang w:val="en-GB"/>
        </w:rPr>
        <w:t>–</w:t>
      </w:r>
      <w:r w:rsidRPr="00BF7DE4">
        <w:rPr>
          <w:lang w:val="en-GB"/>
        </w:rPr>
        <w:t>55</w:t>
      </w:r>
      <w:r w:rsidR="000E6626">
        <w:rPr>
          <w:lang w:val="en-GB"/>
        </w:rPr>
        <w:t>.</w:t>
      </w:r>
    </w:p>
    <w:p w14:paraId="2B599100" w14:textId="2D623793" w:rsidR="00F922D5" w:rsidRDefault="00A73CB0" w:rsidP="00BF7DE4">
      <w:pPr>
        <w:ind w:left="720" w:hanging="360"/>
      </w:pPr>
      <w:r w:rsidRPr="00BF7DE4">
        <w:rPr>
          <w:lang w:val="en-GB"/>
        </w:rPr>
        <w:t xml:space="preserve">Yerkes BD, Weintraub DM, Snyder JS (2019) Stimulus-based and task-based attention modulate auditory stream segregation context effects. </w:t>
      </w:r>
      <w:r w:rsidRPr="00BF7DE4">
        <w:rPr>
          <w:i/>
          <w:iCs/>
          <w:lang w:val="en-GB"/>
        </w:rPr>
        <w:t>Journal of Experimental Psychology: Human Perception and Performance</w:t>
      </w:r>
      <w:r w:rsidRPr="00BF7DE4">
        <w:rPr>
          <w:lang w:val="en-GB"/>
        </w:rPr>
        <w:t xml:space="preserve"> 45(1): 53</w:t>
      </w:r>
      <w:r w:rsidR="00F55AE1">
        <w:rPr>
          <w:lang w:val="en-GB"/>
        </w:rPr>
        <w:t>–</w:t>
      </w:r>
      <w:r w:rsidRPr="00BF7DE4">
        <w:rPr>
          <w:lang w:val="en-GB"/>
        </w:rPr>
        <w:t>66.</w:t>
      </w:r>
    </w:p>
    <w:sectPr w:rsidR="00F922D5" w:rsidSect="00D83A68">
      <w:headerReference w:type="default" r:id="rId8"/>
      <w:pgSz w:w="12240" w:h="15840"/>
      <w:pgMar w:top="1440" w:right="1800" w:bottom="1440" w:left="1440" w:header="1440" w:footer="14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80941D" w14:textId="77777777" w:rsidR="004B5140" w:rsidRDefault="004B5140">
      <w:r>
        <w:separator/>
      </w:r>
    </w:p>
  </w:endnote>
  <w:endnote w:type="continuationSeparator" w:id="0">
    <w:p w14:paraId="46943755" w14:textId="77777777" w:rsidR="004B5140" w:rsidRDefault="004B5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YNMV E+ CONTRACT">
    <w:altName w:val="WYNMV E+ CONTRAC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1C86FE" w14:textId="77777777" w:rsidR="004B5140" w:rsidRDefault="004B5140">
      <w:r>
        <w:separator/>
      </w:r>
    </w:p>
  </w:footnote>
  <w:footnote w:type="continuationSeparator" w:id="0">
    <w:p w14:paraId="7BBCFA76" w14:textId="77777777" w:rsidR="004B5140" w:rsidRDefault="004B51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B73FA" w14:textId="77777777" w:rsidR="004B5140" w:rsidRPr="0070463C" w:rsidRDefault="004B5140" w:rsidP="004B5140">
    <w:pPr>
      <w:jc w:val="right"/>
    </w:pPr>
    <w:r w:rsidRPr="004B5140">
      <w:t>Harris &amp; Smith</w:t>
    </w:r>
    <w:r>
      <w:t>,</w:t>
    </w:r>
    <w:r w:rsidRPr="004B5140">
      <w:t xml:space="preserve"> </w:t>
    </w:r>
    <w:r w:rsidRPr="009259FE">
      <w:rPr>
        <w:i/>
      </w:rPr>
      <w:t>Sensation and Perception, 2e</w:t>
    </w:r>
  </w:p>
  <w:p w14:paraId="5E1CF26B" w14:textId="77777777" w:rsidR="004762E3" w:rsidRPr="006F059D" w:rsidRDefault="006F059D" w:rsidP="004B5140">
    <w:pPr>
      <w:pStyle w:val="Header"/>
      <w:jc w:val="right"/>
    </w:pPr>
    <w:r w:rsidRPr="0050025D">
      <w:t>SAGE Publishing, 202</w:t>
    </w:r>
    <w:r w:rsidR="004B5140">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93E7ED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6C2409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21E757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8CEFEFE"/>
    <w:lvl w:ilvl="0">
      <w:start w:val="1"/>
      <w:numFmt w:val="decimal"/>
      <w:lvlText w:val="%1."/>
      <w:lvlJc w:val="left"/>
      <w:pPr>
        <w:tabs>
          <w:tab w:val="num" w:pos="720"/>
        </w:tabs>
        <w:ind w:left="720" w:hanging="360"/>
      </w:pPr>
    </w:lvl>
  </w:abstractNum>
  <w:abstractNum w:abstractNumId="4" w15:restartNumberingAfterBreak="0">
    <w:nsid w:val="0B7B2867"/>
    <w:multiLevelType w:val="hybridMultilevel"/>
    <w:tmpl w:val="65D2BFF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711676"/>
    <w:multiLevelType w:val="hybridMultilevel"/>
    <w:tmpl w:val="CCBCDAE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A91061F"/>
    <w:multiLevelType w:val="hybridMultilevel"/>
    <w:tmpl w:val="046C0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D748B9"/>
    <w:multiLevelType w:val="hybridMultilevel"/>
    <w:tmpl w:val="2EC81C1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712095F"/>
    <w:multiLevelType w:val="hybridMultilevel"/>
    <w:tmpl w:val="BC5A3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6E05969"/>
    <w:multiLevelType w:val="hybridMultilevel"/>
    <w:tmpl w:val="99584C24"/>
    <w:lvl w:ilvl="0" w:tplc="07A6CAF6">
      <w:start w:val="1"/>
      <w:numFmt w:val="decimal"/>
      <w:pStyle w:val="Numb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FD76479"/>
    <w:multiLevelType w:val="hybridMultilevel"/>
    <w:tmpl w:val="92184EDA"/>
    <w:lvl w:ilvl="0" w:tplc="08843364">
      <w:start w:val="1"/>
      <w:numFmt w:val="bullet"/>
      <w:pStyle w:val="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A0193C"/>
    <w:multiLevelType w:val="hybridMultilevel"/>
    <w:tmpl w:val="E10ABB8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577393893">
    <w:abstractNumId w:val="5"/>
  </w:num>
  <w:num w:numId="2" w16cid:durableId="167991324">
    <w:abstractNumId w:val="11"/>
  </w:num>
  <w:num w:numId="3" w16cid:durableId="622156514">
    <w:abstractNumId w:val="8"/>
  </w:num>
  <w:num w:numId="4" w16cid:durableId="123618736">
    <w:abstractNumId w:val="6"/>
  </w:num>
  <w:num w:numId="5" w16cid:durableId="454955916">
    <w:abstractNumId w:val="7"/>
  </w:num>
  <w:num w:numId="6" w16cid:durableId="740907272">
    <w:abstractNumId w:val="4"/>
  </w:num>
  <w:num w:numId="7" w16cid:durableId="1597513946">
    <w:abstractNumId w:val="2"/>
  </w:num>
  <w:num w:numId="8" w16cid:durableId="923030324">
    <w:abstractNumId w:val="1"/>
  </w:num>
  <w:num w:numId="9" w16cid:durableId="1196965265">
    <w:abstractNumId w:val="0"/>
  </w:num>
  <w:num w:numId="10" w16cid:durableId="227040877">
    <w:abstractNumId w:val="3"/>
  </w:num>
  <w:num w:numId="11" w16cid:durableId="847787714">
    <w:abstractNumId w:val="9"/>
  </w:num>
  <w:num w:numId="12" w16cid:durableId="2138537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characterSpacingControl w:val="doNotCompress"/>
  <w:hdrShapeDefaults>
    <o:shapedefaults v:ext="edit" spidmax="3379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05E1D"/>
    <w:rsid w:val="0000211F"/>
    <w:rsid w:val="00024CB8"/>
    <w:rsid w:val="00033437"/>
    <w:rsid w:val="000629BA"/>
    <w:rsid w:val="00092ED2"/>
    <w:rsid w:val="000E6626"/>
    <w:rsid w:val="000F388C"/>
    <w:rsid w:val="000F3D27"/>
    <w:rsid w:val="0015405F"/>
    <w:rsid w:val="0017404C"/>
    <w:rsid w:val="00185227"/>
    <w:rsid w:val="001A239F"/>
    <w:rsid w:val="001B761C"/>
    <w:rsid w:val="001B7B62"/>
    <w:rsid w:val="001F7343"/>
    <w:rsid w:val="00227074"/>
    <w:rsid w:val="00272B2E"/>
    <w:rsid w:val="002A675D"/>
    <w:rsid w:val="002C44D0"/>
    <w:rsid w:val="002D0F36"/>
    <w:rsid w:val="002D5319"/>
    <w:rsid w:val="002F62BA"/>
    <w:rsid w:val="00305E1D"/>
    <w:rsid w:val="00327683"/>
    <w:rsid w:val="0033004E"/>
    <w:rsid w:val="00331370"/>
    <w:rsid w:val="00361935"/>
    <w:rsid w:val="00365504"/>
    <w:rsid w:val="00370467"/>
    <w:rsid w:val="00393EAF"/>
    <w:rsid w:val="00396AD3"/>
    <w:rsid w:val="003B6091"/>
    <w:rsid w:val="003C06CA"/>
    <w:rsid w:val="003C4235"/>
    <w:rsid w:val="003E708D"/>
    <w:rsid w:val="003E7BF7"/>
    <w:rsid w:val="003F0E55"/>
    <w:rsid w:val="003F6067"/>
    <w:rsid w:val="0041308D"/>
    <w:rsid w:val="004762E3"/>
    <w:rsid w:val="004817D8"/>
    <w:rsid w:val="00486A8A"/>
    <w:rsid w:val="004A1135"/>
    <w:rsid w:val="004B17D5"/>
    <w:rsid w:val="004B5140"/>
    <w:rsid w:val="004B5EE0"/>
    <w:rsid w:val="004C7FAF"/>
    <w:rsid w:val="004E02C0"/>
    <w:rsid w:val="004E5CF4"/>
    <w:rsid w:val="00500B36"/>
    <w:rsid w:val="00533876"/>
    <w:rsid w:val="0053536D"/>
    <w:rsid w:val="00542CC3"/>
    <w:rsid w:val="005646CF"/>
    <w:rsid w:val="0058171D"/>
    <w:rsid w:val="00582851"/>
    <w:rsid w:val="00593132"/>
    <w:rsid w:val="005B1E96"/>
    <w:rsid w:val="00616A17"/>
    <w:rsid w:val="0063450A"/>
    <w:rsid w:val="00637127"/>
    <w:rsid w:val="006376F7"/>
    <w:rsid w:val="006537C0"/>
    <w:rsid w:val="00661127"/>
    <w:rsid w:val="0067627F"/>
    <w:rsid w:val="0069184C"/>
    <w:rsid w:val="006C7443"/>
    <w:rsid w:val="006D1107"/>
    <w:rsid w:val="006E1D22"/>
    <w:rsid w:val="006F059D"/>
    <w:rsid w:val="006F43FC"/>
    <w:rsid w:val="0070463C"/>
    <w:rsid w:val="0072507A"/>
    <w:rsid w:val="007557A1"/>
    <w:rsid w:val="00761723"/>
    <w:rsid w:val="007B2823"/>
    <w:rsid w:val="007B669D"/>
    <w:rsid w:val="00804E85"/>
    <w:rsid w:val="00811EC9"/>
    <w:rsid w:val="00812742"/>
    <w:rsid w:val="00852986"/>
    <w:rsid w:val="00870008"/>
    <w:rsid w:val="00876836"/>
    <w:rsid w:val="008978D0"/>
    <w:rsid w:val="008B339D"/>
    <w:rsid w:val="008C4617"/>
    <w:rsid w:val="008D029E"/>
    <w:rsid w:val="008E46E0"/>
    <w:rsid w:val="008F6092"/>
    <w:rsid w:val="009259FE"/>
    <w:rsid w:val="00931319"/>
    <w:rsid w:val="00956287"/>
    <w:rsid w:val="0096128C"/>
    <w:rsid w:val="00963D40"/>
    <w:rsid w:val="0097453E"/>
    <w:rsid w:val="00974AA9"/>
    <w:rsid w:val="00991CF3"/>
    <w:rsid w:val="009A40A6"/>
    <w:rsid w:val="009B2FE8"/>
    <w:rsid w:val="009B7BBD"/>
    <w:rsid w:val="00A059F3"/>
    <w:rsid w:val="00A1465F"/>
    <w:rsid w:val="00A324FE"/>
    <w:rsid w:val="00A37689"/>
    <w:rsid w:val="00A44E55"/>
    <w:rsid w:val="00A73CB0"/>
    <w:rsid w:val="00A77424"/>
    <w:rsid w:val="00A84C45"/>
    <w:rsid w:val="00A874D9"/>
    <w:rsid w:val="00AB42AC"/>
    <w:rsid w:val="00AD5452"/>
    <w:rsid w:val="00AD5E2E"/>
    <w:rsid w:val="00AF0C3C"/>
    <w:rsid w:val="00AF311C"/>
    <w:rsid w:val="00AF4F8B"/>
    <w:rsid w:val="00B164AA"/>
    <w:rsid w:val="00B31FED"/>
    <w:rsid w:val="00B36615"/>
    <w:rsid w:val="00B42E08"/>
    <w:rsid w:val="00B73564"/>
    <w:rsid w:val="00BA5B7C"/>
    <w:rsid w:val="00BB0C36"/>
    <w:rsid w:val="00BF7DE4"/>
    <w:rsid w:val="00C039B2"/>
    <w:rsid w:val="00C048E3"/>
    <w:rsid w:val="00C0768A"/>
    <w:rsid w:val="00C266E0"/>
    <w:rsid w:val="00C55F1A"/>
    <w:rsid w:val="00C6457F"/>
    <w:rsid w:val="00C8654C"/>
    <w:rsid w:val="00CB2339"/>
    <w:rsid w:val="00CB481B"/>
    <w:rsid w:val="00CB5517"/>
    <w:rsid w:val="00CD1179"/>
    <w:rsid w:val="00CE06A4"/>
    <w:rsid w:val="00CE414B"/>
    <w:rsid w:val="00CF39F3"/>
    <w:rsid w:val="00CF5F08"/>
    <w:rsid w:val="00D33536"/>
    <w:rsid w:val="00D35BFA"/>
    <w:rsid w:val="00D37AF2"/>
    <w:rsid w:val="00D46302"/>
    <w:rsid w:val="00D61BCA"/>
    <w:rsid w:val="00D667AA"/>
    <w:rsid w:val="00D74FD5"/>
    <w:rsid w:val="00D83A68"/>
    <w:rsid w:val="00D8701F"/>
    <w:rsid w:val="00DA246F"/>
    <w:rsid w:val="00E06479"/>
    <w:rsid w:val="00E21D27"/>
    <w:rsid w:val="00E352E1"/>
    <w:rsid w:val="00E52712"/>
    <w:rsid w:val="00E74418"/>
    <w:rsid w:val="00E87DCF"/>
    <w:rsid w:val="00EC67A7"/>
    <w:rsid w:val="00EC6AC2"/>
    <w:rsid w:val="00F01A6C"/>
    <w:rsid w:val="00F25E6B"/>
    <w:rsid w:val="00F4373D"/>
    <w:rsid w:val="00F54DB9"/>
    <w:rsid w:val="00F55AE1"/>
    <w:rsid w:val="00F61361"/>
    <w:rsid w:val="00F70E90"/>
    <w:rsid w:val="00F7153D"/>
    <w:rsid w:val="00F77A8F"/>
    <w:rsid w:val="00F922D5"/>
    <w:rsid w:val="00F9515B"/>
    <w:rsid w:val="00FD6C0D"/>
    <w:rsid w:val="00FE64DE"/>
    <w:rsid w:val="00FF13BE"/>
    <w:rsid w:val="00FF22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o:shapelayout v:ext="edit">
      <o:idmap v:ext="edit" data="1"/>
    </o:shapelayout>
  </w:shapeDefaults>
  <w:decimalSymbol w:val="."/>
  <w:listSeparator w:val=","/>
  <w14:docId w14:val="6DF78047"/>
  <w15:docId w15:val="{509F7A3F-C84D-473C-A223-41893CFF7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7B62"/>
    <w:pPr>
      <w:spacing w:line="360" w:lineRule="auto"/>
      <w:contextualSpacing/>
    </w:pPr>
    <w:rPr>
      <w:sz w:val="24"/>
      <w:szCs w:val="24"/>
    </w:rPr>
  </w:style>
  <w:style w:type="paragraph" w:styleId="Heading1">
    <w:name w:val="heading 1"/>
    <w:basedOn w:val="Normal"/>
    <w:next w:val="Normal"/>
    <w:link w:val="Heading1Char"/>
    <w:autoRedefine/>
    <w:qFormat/>
    <w:rsid w:val="001B7B62"/>
    <w:pPr>
      <w:keepNext/>
      <w:keepLines/>
      <w:spacing w:before="100" w:after="100"/>
      <w:outlineLvl w:val="0"/>
    </w:pPr>
    <w:rPr>
      <w:rFonts w:cstheme="majorBidi"/>
      <w:b/>
      <w:bCs/>
      <w:color w:val="2E74B5" w:themeColor="accent1" w:themeShade="BF"/>
      <w:sz w:val="36"/>
      <w:szCs w:val="28"/>
      <w:lang w:val="en-GB"/>
    </w:rPr>
  </w:style>
  <w:style w:type="paragraph" w:styleId="Heading2">
    <w:name w:val="heading 2"/>
    <w:basedOn w:val="Normal"/>
    <w:next w:val="Normal"/>
    <w:link w:val="Heading2Char"/>
    <w:autoRedefine/>
    <w:unhideWhenUsed/>
    <w:qFormat/>
    <w:rsid w:val="00A874D9"/>
    <w:pPr>
      <w:keepNext/>
      <w:keepLines/>
      <w:spacing w:before="100" w:after="100"/>
      <w:outlineLvl w:val="1"/>
    </w:pPr>
    <w:rPr>
      <w:b/>
      <w:bCs/>
      <w:color w:val="5B9BD5"/>
      <w:sz w:val="26"/>
      <w:szCs w:val="26"/>
    </w:rPr>
  </w:style>
  <w:style w:type="paragraph" w:styleId="Heading3">
    <w:name w:val="heading 3"/>
    <w:basedOn w:val="Normal"/>
    <w:next w:val="Normal"/>
    <w:link w:val="Heading3Char"/>
    <w:autoRedefine/>
    <w:uiPriority w:val="9"/>
    <w:unhideWhenUsed/>
    <w:qFormat/>
    <w:rsid w:val="00991CF3"/>
    <w:pPr>
      <w:keepNext/>
      <w:keepLines/>
      <w:spacing w:before="100" w:after="100"/>
      <w:outlineLvl w:val="2"/>
    </w:pPr>
    <w:rPr>
      <w:rFonts w:eastAsiaTheme="majorEastAsia" w:cstheme="majorBidi"/>
      <w:b/>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542CC3"/>
    <w:pPr>
      <w:tabs>
        <w:tab w:val="center" w:pos="4320"/>
        <w:tab w:val="right" w:pos="8640"/>
      </w:tabs>
    </w:pPr>
  </w:style>
  <w:style w:type="character" w:styleId="PageNumber">
    <w:name w:val="page number"/>
    <w:basedOn w:val="DefaultParagraphFont"/>
    <w:rsid w:val="003E708D"/>
  </w:style>
  <w:style w:type="paragraph" w:styleId="ListParagraph">
    <w:name w:val="List Paragraph"/>
    <w:basedOn w:val="Normal"/>
    <w:uiPriority w:val="34"/>
    <w:qFormat/>
    <w:rsid w:val="0096128C"/>
    <w:rPr>
      <w:rFonts w:eastAsia="Calibri"/>
      <w:szCs w:val="22"/>
    </w:rPr>
  </w:style>
  <w:style w:type="character" w:styleId="Hyperlink">
    <w:name w:val="Hyperlink"/>
    <w:uiPriority w:val="99"/>
    <w:unhideWhenUsed/>
    <w:rsid w:val="00227074"/>
    <w:rPr>
      <w:color w:val="0000FF"/>
      <w:u w:val="single"/>
    </w:rPr>
  </w:style>
  <w:style w:type="character" w:customStyle="1" w:styleId="apple-converted-space">
    <w:name w:val="apple-converted-space"/>
    <w:basedOn w:val="DefaultParagraphFont"/>
    <w:rsid w:val="00E74418"/>
  </w:style>
  <w:style w:type="paragraph" w:customStyle="1" w:styleId="NumberedList">
    <w:name w:val="Numbered List"/>
    <w:basedOn w:val="Normal"/>
    <w:uiPriority w:val="99"/>
    <w:qFormat/>
    <w:rsid w:val="00542CC3"/>
    <w:pPr>
      <w:numPr>
        <w:numId w:val="11"/>
      </w:numPr>
      <w:spacing w:before="120"/>
    </w:pPr>
    <w:rPr>
      <w:rFonts w:eastAsia="Calibri"/>
      <w:szCs w:val="22"/>
    </w:rPr>
  </w:style>
  <w:style w:type="paragraph" w:customStyle="1" w:styleId="ReferenceText">
    <w:name w:val="Reference Text"/>
    <w:basedOn w:val="Normal"/>
    <w:uiPriority w:val="99"/>
    <w:qFormat/>
    <w:rsid w:val="00542CC3"/>
    <w:pPr>
      <w:spacing w:before="120"/>
      <w:ind w:left="720" w:hanging="720"/>
    </w:pPr>
    <w:rPr>
      <w:rFonts w:eastAsiaTheme="minorHAnsi" w:cstheme="minorBidi"/>
      <w:szCs w:val="22"/>
    </w:rPr>
  </w:style>
  <w:style w:type="paragraph" w:styleId="Footer">
    <w:name w:val="footer"/>
    <w:basedOn w:val="Normal"/>
    <w:link w:val="FooterChar"/>
    <w:rsid w:val="004762E3"/>
    <w:pPr>
      <w:tabs>
        <w:tab w:val="center" w:pos="4680"/>
        <w:tab w:val="right" w:pos="9360"/>
      </w:tabs>
    </w:pPr>
  </w:style>
  <w:style w:type="character" w:customStyle="1" w:styleId="FooterChar">
    <w:name w:val="Footer Char"/>
    <w:basedOn w:val="DefaultParagraphFont"/>
    <w:link w:val="Footer"/>
    <w:rsid w:val="004762E3"/>
    <w:rPr>
      <w:sz w:val="24"/>
      <w:szCs w:val="24"/>
    </w:rPr>
  </w:style>
  <w:style w:type="paragraph" w:styleId="Title">
    <w:name w:val="Title"/>
    <w:basedOn w:val="Normal"/>
    <w:next w:val="Normal"/>
    <w:link w:val="TitleChar"/>
    <w:qFormat/>
    <w:rsid w:val="00F61361"/>
    <w:pPr>
      <w:pBdr>
        <w:bottom w:val="single" w:sz="8" w:space="4" w:color="5B9BD5" w:themeColor="accent1"/>
      </w:pBdr>
      <w:spacing w:after="300"/>
    </w:pPr>
    <w:rPr>
      <w:rFonts w:eastAsiaTheme="majorEastAsia" w:cstheme="majorBidi"/>
      <w:color w:val="1F4E79" w:themeColor="accent1" w:themeShade="80"/>
      <w:spacing w:val="5"/>
      <w:kern w:val="28"/>
      <w:sz w:val="52"/>
      <w:szCs w:val="52"/>
    </w:rPr>
  </w:style>
  <w:style w:type="character" w:customStyle="1" w:styleId="TitleChar">
    <w:name w:val="Title Char"/>
    <w:basedOn w:val="DefaultParagraphFont"/>
    <w:link w:val="Title"/>
    <w:rsid w:val="00F61361"/>
    <w:rPr>
      <w:rFonts w:eastAsiaTheme="majorEastAsia" w:cstheme="majorBidi"/>
      <w:color w:val="1F4E79" w:themeColor="accent1" w:themeShade="80"/>
      <w:spacing w:val="5"/>
      <w:kern w:val="28"/>
      <w:sz w:val="52"/>
      <w:szCs w:val="52"/>
    </w:rPr>
  </w:style>
  <w:style w:type="character" w:customStyle="1" w:styleId="Heading1Char">
    <w:name w:val="Heading 1 Char"/>
    <w:basedOn w:val="DefaultParagraphFont"/>
    <w:link w:val="Heading1"/>
    <w:rsid w:val="001B7B62"/>
    <w:rPr>
      <w:rFonts w:cstheme="majorBidi"/>
      <w:b/>
      <w:bCs/>
      <w:color w:val="2E74B5" w:themeColor="accent1" w:themeShade="BF"/>
      <w:sz w:val="36"/>
      <w:szCs w:val="28"/>
      <w:lang w:val="en-GB"/>
    </w:rPr>
  </w:style>
  <w:style w:type="paragraph" w:styleId="BalloonText">
    <w:name w:val="Balloon Text"/>
    <w:basedOn w:val="Normal"/>
    <w:link w:val="BalloonTextChar"/>
    <w:rsid w:val="00CF39F3"/>
    <w:rPr>
      <w:rFonts w:ascii="Tahoma" w:hAnsi="Tahoma" w:cs="Tahoma"/>
      <w:sz w:val="16"/>
      <w:szCs w:val="16"/>
    </w:rPr>
  </w:style>
  <w:style w:type="character" w:customStyle="1" w:styleId="BalloonTextChar">
    <w:name w:val="Balloon Text Char"/>
    <w:basedOn w:val="DefaultParagraphFont"/>
    <w:link w:val="BalloonText"/>
    <w:rsid w:val="00CF39F3"/>
    <w:rPr>
      <w:rFonts w:ascii="Tahoma" w:hAnsi="Tahoma" w:cs="Tahoma"/>
      <w:sz w:val="16"/>
      <w:szCs w:val="16"/>
    </w:rPr>
  </w:style>
  <w:style w:type="character" w:customStyle="1" w:styleId="Heading2Char">
    <w:name w:val="Heading 2 Char"/>
    <w:link w:val="Heading2"/>
    <w:rsid w:val="00A874D9"/>
    <w:rPr>
      <w:b/>
      <w:bCs/>
      <w:color w:val="5B9BD5"/>
      <w:sz w:val="26"/>
      <w:szCs w:val="26"/>
    </w:rPr>
  </w:style>
  <w:style w:type="paragraph" w:customStyle="1" w:styleId="BulletedList">
    <w:name w:val="Bulleted List"/>
    <w:basedOn w:val="Normal"/>
    <w:qFormat/>
    <w:rsid w:val="00542CC3"/>
    <w:pPr>
      <w:numPr>
        <w:numId w:val="12"/>
      </w:numPr>
    </w:pPr>
  </w:style>
  <w:style w:type="character" w:customStyle="1" w:styleId="Heading3Char">
    <w:name w:val="Heading 3 Char"/>
    <w:basedOn w:val="DefaultParagraphFont"/>
    <w:link w:val="Heading3"/>
    <w:uiPriority w:val="9"/>
    <w:rsid w:val="00991CF3"/>
    <w:rPr>
      <w:rFonts w:eastAsiaTheme="majorEastAsia" w:cstheme="majorBidi"/>
      <w:b/>
      <w:color w:val="1F4E79" w:themeColor="accent1" w:themeShade="80"/>
      <w:sz w:val="24"/>
      <w:szCs w:val="24"/>
    </w:rPr>
  </w:style>
  <w:style w:type="character" w:customStyle="1" w:styleId="HeaderChar">
    <w:name w:val="Header Char"/>
    <w:basedOn w:val="DefaultParagraphFont"/>
    <w:link w:val="Header"/>
    <w:rsid w:val="006F059D"/>
    <w:rPr>
      <w:sz w:val="24"/>
      <w:szCs w:val="24"/>
    </w:rPr>
  </w:style>
  <w:style w:type="paragraph" w:customStyle="1" w:styleId="Default">
    <w:name w:val="Default"/>
    <w:rsid w:val="0070463C"/>
    <w:pPr>
      <w:autoSpaceDE w:val="0"/>
      <w:autoSpaceDN w:val="0"/>
      <w:adjustRightInd w:val="0"/>
    </w:pPr>
    <w:rPr>
      <w:rFonts w:ascii="WYNMV E+ CONTRACT" w:hAnsi="WYNMV E+ CONTRACT" w:cs="WYNMV E+ CONTRAC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0BEBE7-F927-41DF-919A-33954FFAD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Pages>
  <Words>407</Words>
  <Characters>2322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Coastal Carolina University</Company>
  <LinksUpToDate>false</LinksUpToDate>
  <CharactersWithSpaces>2724</CharactersWithSpaces>
  <SharedDoc>false</SharedDoc>
  <HLinks>
    <vt:vector size="6" baseType="variant">
      <vt:variant>
        <vt:i4>2556018</vt:i4>
      </vt:variant>
      <vt:variant>
        <vt:i4>0</vt:i4>
      </vt:variant>
      <vt:variant>
        <vt:i4>0</vt:i4>
      </vt:variant>
      <vt:variant>
        <vt:i4>5</vt:i4>
      </vt:variant>
      <vt:variant>
        <vt:lpwstr>http://www.newsweek.com/suspicions-and-spies-silicon-valley-109827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conv</dc:creator>
  <cp:lastModifiedBy>Martin Fox</cp:lastModifiedBy>
  <cp:revision>26</cp:revision>
  <dcterms:created xsi:type="dcterms:W3CDTF">2022-04-06T11:45:00Z</dcterms:created>
  <dcterms:modified xsi:type="dcterms:W3CDTF">2022-04-25T08:22:00Z</dcterms:modified>
</cp:coreProperties>
</file>