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9783" w14:textId="305FDCAC" w:rsidR="00156F40" w:rsidRDefault="00156F40" w:rsidP="00156F40">
      <w:pPr>
        <w:pStyle w:val="Heading1"/>
        <w:rPr>
          <w:lang w:val="en-GB"/>
        </w:rPr>
      </w:pPr>
      <w:r>
        <w:rPr>
          <w:lang w:val="en-GB"/>
        </w:rPr>
        <w:t>Chapter 2</w:t>
      </w:r>
      <w:r>
        <w:rPr>
          <w:lang w:val="en-GB"/>
        </w:rPr>
        <w:t>9</w:t>
      </w:r>
      <w:r>
        <w:rPr>
          <w:lang w:val="en-GB"/>
        </w:rPr>
        <w:t xml:space="preserve"> </w:t>
      </w:r>
      <w:r>
        <w:rPr>
          <w:lang w:val="en-GB"/>
        </w:rPr>
        <w:t>Attachment theory</w:t>
      </w:r>
    </w:p>
    <w:p w14:paraId="484B0F81" w14:textId="77777777" w:rsidR="00C17CAA" w:rsidRDefault="00C17CAA" w:rsidP="00C17CAA">
      <w:bookmarkStart w:id="0" w:name="_GoBack"/>
      <w:bookmarkEnd w:id="0"/>
    </w:p>
    <w:p w14:paraId="12837279" w14:textId="6802A399" w:rsidR="00C17CAA" w:rsidRPr="005F1CAC" w:rsidRDefault="00C17CAA" w:rsidP="00C17CAA">
      <w:r w:rsidRPr="005F1CAC">
        <w:t xml:space="preserve">Watch this YouTube video of parents interacting with their infant child: </w:t>
      </w:r>
      <w:hyperlink r:id="rId8" w:history="1">
        <w:r w:rsidRPr="00C17CAA">
          <w:rPr>
            <w:rStyle w:val="Hyperlink"/>
            <w:color w:val="000099"/>
          </w:rPr>
          <w:t>https://youtu.be/lmCQUMrbmMs</w:t>
        </w:r>
      </w:hyperlink>
      <w:r w:rsidRPr="005F1CAC">
        <w:t xml:space="preserve"> </w:t>
      </w:r>
    </w:p>
    <w:p w14:paraId="57CB3936" w14:textId="2AC30B4E" w:rsidR="00C17CAA" w:rsidRPr="005F1CAC" w:rsidRDefault="00C17CAA" w:rsidP="00C17CAA">
      <w:pPr>
        <w:ind w:firstLine="720"/>
      </w:pPr>
      <w:r w:rsidRPr="005F1CAC">
        <w:t>Imagine you are observing this family in order to form a view of the relationship between the child and each of their parents. Use the Ainsworth maternal sensitivity scales and complete the table below for each parent.</w:t>
      </w:r>
      <w:r>
        <w:t xml:space="preserve"> </w:t>
      </w:r>
      <w:r w:rsidRPr="005F1CAC">
        <w:t xml:space="preserve">You may find it useful to have a colleague also do this task, then compare and critically </w:t>
      </w:r>
      <w:proofErr w:type="spellStart"/>
      <w:r w:rsidRPr="005F1CAC">
        <w:t>analyse</w:t>
      </w:r>
      <w:proofErr w:type="spellEnd"/>
      <w:r w:rsidRPr="005F1CAC">
        <w:t xml:space="preserve"> what </w:t>
      </w:r>
      <w:proofErr w:type="spellStart"/>
      <w:r w:rsidRPr="005F1CAC">
        <w:t>behaviours</w:t>
      </w:r>
      <w:proofErr w:type="spellEnd"/>
      <w:r w:rsidRPr="005F1CAC">
        <w:t xml:space="preserve"> and opinions you each formed.</w:t>
      </w:r>
    </w:p>
    <w:p w14:paraId="37C63538" w14:textId="77777777" w:rsidR="00C17CAA" w:rsidRPr="005F1CAC" w:rsidRDefault="00C17CAA" w:rsidP="00C17CAA">
      <w:pPr>
        <w:rPr>
          <w:color w:val="833C0B" w:themeColor="accent2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015"/>
        <w:gridCol w:w="2281"/>
        <w:gridCol w:w="2254"/>
      </w:tblGrid>
      <w:tr w:rsidR="005A1693" w14:paraId="5F5234A5" w14:textId="77777777" w:rsidTr="00C17CAA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D029" w14:textId="77777777" w:rsidR="005A1693" w:rsidRDefault="005A1693" w:rsidP="00C17CAA">
            <w:pPr>
              <w:rPr>
                <w:b/>
              </w:rPr>
            </w:pPr>
            <w:r>
              <w:rPr>
                <w:b/>
              </w:rPr>
              <w:t>Sensitivity Scale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8897" w14:textId="77777777" w:rsidR="005A1693" w:rsidRDefault="005A1693" w:rsidP="00C17CAA">
            <w:pPr>
              <w:rPr>
                <w:b/>
              </w:rPr>
            </w:pPr>
            <w:r>
              <w:rPr>
                <w:b/>
              </w:rPr>
              <w:t>Baby signals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DE94" w14:textId="77777777" w:rsidR="005A1693" w:rsidRDefault="005A1693" w:rsidP="00C17CAA">
            <w:pPr>
              <w:rPr>
                <w:b/>
              </w:rPr>
            </w:pPr>
            <w:r>
              <w:rPr>
                <w:b/>
              </w:rPr>
              <w:t>Mother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7F74" w14:textId="77777777" w:rsidR="005A1693" w:rsidRDefault="005A1693" w:rsidP="00C17CAA">
            <w:pPr>
              <w:rPr>
                <w:b/>
              </w:rPr>
            </w:pPr>
            <w:r>
              <w:rPr>
                <w:b/>
              </w:rPr>
              <w:t>Father</w:t>
            </w:r>
          </w:p>
        </w:tc>
      </w:tr>
      <w:tr w:rsidR="005A1693" w14:paraId="1FA5277E" w14:textId="77777777" w:rsidTr="00C17CAA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7DEC" w14:textId="77777777" w:rsidR="005A1693" w:rsidRDefault="005A1693" w:rsidP="00C17CAA">
            <w:pPr>
              <w:rPr>
                <w:b/>
              </w:rPr>
            </w:pPr>
            <w:r>
              <w:rPr>
                <w:b/>
              </w:rPr>
              <w:t xml:space="preserve">Scale 1: </w:t>
            </w:r>
          </w:p>
          <w:p w14:paraId="607DBAB9" w14:textId="77777777" w:rsidR="005A1693" w:rsidRDefault="005A1693" w:rsidP="00C17CAA">
            <w:r>
              <w:t xml:space="preserve">Sensitivity </w:t>
            </w:r>
            <w:r>
              <w:rPr>
                <w:noProof/>
              </w:rPr>
              <w:t>vs</w:t>
            </w:r>
            <w:r>
              <w:t xml:space="preserve"> insensitivity</w:t>
            </w:r>
            <w:r w:rsidR="007B7EC2">
              <w:t xml:space="preserve"> </w:t>
            </w:r>
            <w:r>
              <w:t>to the baby's signals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2BF0" w14:textId="77777777" w:rsidR="005A1693" w:rsidRDefault="005A1693" w:rsidP="00C17CAA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8322" w14:textId="77777777" w:rsidR="005A1693" w:rsidRDefault="005A1693" w:rsidP="00C17CAA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8D3D" w14:textId="77777777" w:rsidR="005A1693" w:rsidRDefault="005A1693" w:rsidP="00C17CAA"/>
        </w:tc>
      </w:tr>
      <w:tr w:rsidR="005A1693" w14:paraId="0CDE075A" w14:textId="77777777" w:rsidTr="00C17CAA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C772" w14:textId="77777777" w:rsidR="005A1693" w:rsidRDefault="005A1693" w:rsidP="00C17CAA">
            <w:pPr>
              <w:rPr>
                <w:b/>
              </w:rPr>
            </w:pPr>
            <w:r>
              <w:rPr>
                <w:b/>
              </w:rPr>
              <w:t xml:space="preserve">Scale 2: </w:t>
            </w:r>
          </w:p>
          <w:p w14:paraId="06381C83" w14:textId="77777777" w:rsidR="005A1693" w:rsidRDefault="005A1693" w:rsidP="00C17CAA">
            <w:r>
              <w:t xml:space="preserve">Cooperation </w:t>
            </w:r>
            <w:r>
              <w:rPr>
                <w:noProof/>
              </w:rPr>
              <w:t>vs</w:t>
            </w:r>
            <w:r>
              <w:t xml:space="preserve"> interference with</w:t>
            </w:r>
            <w:r w:rsidR="007B7EC2">
              <w:t xml:space="preserve"> </w:t>
            </w:r>
            <w:r>
              <w:t xml:space="preserve">baby's ongoing </w:t>
            </w:r>
            <w:r>
              <w:rPr>
                <w:noProof/>
              </w:rPr>
              <w:t>behaviour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74A1" w14:textId="77777777" w:rsidR="005A1693" w:rsidRDefault="005A1693" w:rsidP="00C17CAA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1050" w14:textId="77777777" w:rsidR="005A1693" w:rsidRDefault="005A1693" w:rsidP="00C17CAA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C65F" w14:textId="77777777" w:rsidR="005A1693" w:rsidRDefault="005A1693" w:rsidP="00C17CAA"/>
        </w:tc>
      </w:tr>
      <w:tr w:rsidR="005A1693" w14:paraId="070A9B37" w14:textId="77777777" w:rsidTr="00C17CAA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BD32" w14:textId="77777777" w:rsidR="005A1693" w:rsidRDefault="005A1693" w:rsidP="00C17CAA">
            <w:pPr>
              <w:rPr>
                <w:b/>
              </w:rPr>
            </w:pPr>
            <w:r>
              <w:rPr>
                <w:b/>
              </w:rPr>
              <w:t xml:space="preserve">Scale 3: </w:t>
            </w:r>
          </w:p>
          <w:p w14:paraId="1582F52B" w14:textId="77777777" w:rsidR="005A1693" w:rsidRDefault="005A1693" w:rsidP="00C17CAA">
            <w:r>
              <w:t>Physical and psychological availability vs ignoring and neglecting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2978" w14:textId="77777777" w:rsidR="005A1693" w:rsidRDefault="005A1693" w:rsidP="00C17CAA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B8F0" w14:textId="77777777" w:rsidR="005A1693" w:rsidRDefault="005A1693" w:rsidP="00C17CAA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8894" w14:textId="77777777" w:rsidR="005A1693" w:rsidRDefault="005A1693" w:rsidP="00C17CAA"/>
        </w:tc>
      </w:tr>
      <w:tr w:rsidR="005A1693" w14:paraId="6F9FFB41" w14:textId="77777777" w:rsidTr="00C17CAA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53CA" w14:textId="77777777" w:rsidR="005A1693" w:rsidRDefault="005A1693" w:rsidP="00C17CAA">
            <w:pPr>
              <w:rPr>
                <w:b/>
              </w:rPr>
            </w:pPr>
            <w:r>
              <w:rPr>
                <w:b/>
              </w:rPr>
              <w:t xml:space="preserve">Scale 4: </w:t>
            </w:r>
          </w:p>
          <w:p w14:paraId="112838D0" w14:textId="77777777" w:rsidR="005A1693" w:rsidRDefault="005A1693" w:rsidP="00C17CAA">
            <w:r>
              <w:t xml:space="preserve">Acceptance </w:t>
            </w:r>
            <w:r>
              <w:rPr>
                <w:noProof/>
              </w:rPr>
              <w:t>vs</w:t>
            </w:r>
            <w:r>
              <w:t xml:space="preserve"> rejection of the baby's needs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4187" w14:textId="77777777" w:rsidR="005A1693" w:rsidRDefault="005A1693" w:rsidP="00C17CAA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BA32" w14:textId="77777777" w:rsidR="005A1693" w:rsidRDefault="005A1693" w:rsidP="00C17CAA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E6B" w14:textId="77777777" w:rsidR="005A1693" w:rsidRDefault="005A1693" w:rsidP="00C17CAA"/>
        </w:tc>
      </w:tr>
    </w:tbl>
    <w:p w14:paraId="3473BFD9" w14:textId="77777777" w:rsidR="00C17CAA" w:rsidRDefault="00C17CAA" w:rsidP="00C17CAA"/>
    <w:p w14:paraId="74BFEE0C" w14:textId="0130D1D2" w:rsidR="00393599" w:rsidRPr="005F1CAC" w:rsidRDefault="00393599" w:rsidP="00C17CAA"/>
    <w:sectPr w:rsidR="00393599" w:rsidRPr="005F1CAC" w:rsidSect="00C17CAA">
      <w:headerReference w:type="default" r:id="rId9"/>
      <w:pgSz w:w="11906" w:h="16838"/>
      <w:pgMar w:top="1134" w:right="1134" w:bottom="1134" w:left="1134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B0C82" w14:textId="77777777" w:rsidR="00FC3B53" w:rsidRDefault="00FC3B53" w:rsidP="005F1CAC">
      <w:r>
        <w:separator/>
      </w:r>
    </w:p>
  </w:endnote>
  <w:endnote w:type="continuationSeparator" w:id="0">
    <w:p w14:paraId="362152DA" w14:textId="77777777" w:rsidR="00FC3B53" w:rsidRDefault="00FC3B53" w:rsidP="005F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C2FD5" w14:textId="77777777" w:rsidR="00FC3B53" w:rsidRDefault="00FC3B53" w:rsidP="005F1CAC">
      <w:r>
        <w:separator/>
      </w:r>
    </w:p>
  </w:footnote>
  <w:footnote w:type="continuationSeparator" w:id="0">
    <w:p w14:paraId="23D89725" w14:textId="77777777" w:rsidR="00FC3B53" w:rsidRDefault="00FC3B53" w:rsidP="005F1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6809B" w14:textId="77777777" w:rsidR="00A2087F" w:rsidRDefault="00A2087F" w:rsidP="00A2087F">
    <w:pPr>
      <w:pStyle w:val="Header"/>
      <w:spacing w:line="240" w:lineRule="auto"/>
      <w:jc w:val="right"/>
    </w:pPr>
    <w:r>
      <w:t>Instructor Resource</w:t>
    </w:r>
  </w:p>
  <w:p w14:paraId="7180653D" w14:textId="77777777" w:rsidR="00A2087F" w:rsidRDefault="00A2087F" w:rsidP="00A2087F">
    <w:pPr>
      <w:pStyle w:val="Header"/>
      <w:spacing w:line="240" w:lineRule="auto"/>
      <w:jc w:val="right"/>
      <w:rPr>
        <w:i/>
      </w:rPr>
    </w:pPr>
    <w:r>
      <w:t xml:space="preserve">Rogers et al., </w:t>
    </w:r>
    <w:r>
      <w:rPr>
        <w:i/>
      </w:rPr>
      <w:t>Developing Skills &amp; Knowledge for Social Work Practice, 2e</w:t>
    </w:r>
  </w:p>
  <w:p w14:paraId="55DE5D7E" w14:textId="25C8DD44" w:rsidR="005F1CAC" w:rsidRPr="005A1693" w:rsidRDefault="00A2087F" w:rsidP="00C17CAA">
    <w:pPr>
      <w:pStyle w:val="Header"/>
      <w:jc w:val="right"/>
    </w:pPr>
    <w:r>
      <w:t>SAGE Publishing,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11DCA686"/>
    <w:lvl w:ilvl="0" w:tplc="414A18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81F21"/>
    <w:multiLevelType w:val="hybridMultilevel"/>
    <w:tmpl w:val="CDF85156"/>
    <w:lvl w:ilvl="0" w:tplc="E44AA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00EC7"/>
    <w:multiLevelType w:val="hybridMultilevel"/>
    <w:tmpl w:val="44C80882"/>
    <w:lvl w:ilvl="0" w:tplc="52CC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599"/>
    <w:rsid w:val="00030612"/>
    <w:rsid w:val="000B3680"/>
    <w:rsid w:val="00156F40"/>
    <w:rsid w:val="00251C01"/>
    <w:rsid w:val="002820D9"/>
    <w:rsid w:val="00372983"/>
    <w:rsid w:val="00393599"/>
    <w:rsid w:val="004C6567"/>
    <w:rsid w:val="005A1693"/>
    <w:rsid w:val="005F1CAC"/>
    <w:rsid w:val="006548EC"/>
    <w:rsid w:val="006846C6"/>
    <w:rsid w:val="00792C7D"/>
    <w:rsid w:val="007B7EC2"/>
    <w:rsid w:val="0084568B"/>
    <w:rsid w:val="008F17EF"/>
    <w:rsid w:val="00A2087F"/>
    <w:rsid w:val="00A60D47"/>
    <w:rsid w:val="00B50687"/>
    <w:rsid w:val="00C17CAA"/>
    <w:rsid w:val="00C726C6"/>
    <w:rsid w:val="00FC3B53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7442"/>
  <w15:docId w15:val="{1374AC5D-E36E-4317-96C7-87611E67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87F"/>
    <w:pPr>
      <w:spacing w:after="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2087F"/>
    <w:pPr>
      <w:keepNext/>
      <w:keepLines/>
      <w:spacing w:before="24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2087F"/>
    <w:pPr>
      <w:keepNext/>
      <w:keepLines/>
      <w:spacing w:before="12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2087F"/>
    <w:pPr>
      <w:keepNext/>
      <w:keepLines/>
      <w:spacing w:before="24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2087F"/>
    <w:rPr>
      <w:color w:val="0000FF"/>
      <w:u w:val="single"/>
    </w:rPr>
  </w:style>
  <w:style w:type="paragraph" w:styleId="Header">
    <w:name w:val="header"/>
    <w:basedOn w:val="Normal"/>
    <w:link w:val="HeaderChar"/>
    <w:rsid w:val="00A20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1C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A20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08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A2087F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A2087F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A2087F"/>
    <w:rPr>
      <w:rFonts w:ascii="Times New Roman" w:eastAsia="Times New Roman" w:hAnsi="Times New Roman" w:cs="Times New Roman"/>
      <w:b/>
      <w:color w:val="1F4E79"/>
      <w:sz w:val="24"/>
      <w:szCs w:val="20"/>
      <w:lang w:val="en-US"/>
    </w:rPr>
  </w:style>
  <w:style w:type="character" w:styleId="PageNumber">
    <w:name w:val="page number"/>
    <w:basedOn w:val="DefaultParagraphFont"/>
    <w:rsid w:val="00A2087F"/>
  </w:style>
  <w:style w:type="paragraph" w:styleId="ListParagraph">
    <w:name w:val="List Paragraph"/>
    <w:basedOn w:val="Normal"/>
    <w:autoRedefine/>
    <w:uiPriority w:val="34"/>
    <w:qFormat/>
    <w:rsid w:val="00A2087F"/>
    <w:pPr>
      <w:ind w:left="720" w:hanging="360"/>
      <w:jc w:val="both"/>
    </w:pPr>
    <w:rPr>
      <w:rFonts w:eastAsia="Calibri"/>
    </w:rPr>
  </w:style>
  <w:style w:type="character" w:customStyle="1" w:styleId="apple-converted-space">
    <w:name w:val="apple-converted-space"/>
    <w:basedOn w:val="DefaultParagraphFont"/>
    <w:rsid w:val="00A2087F"/>
  </w:style>
  <w:style w:type="paragraph" w:customStyle="1" w:styleId="NumberedList">
    <w:name w:val="Numbered List"/>
    <w:basedOn w:val="Normal"/>
    <w:uiPriority w:val="99"/>
    <w:qFormat/>
    <w:rsid w:val="00A2087F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A2087F"/>
    <w:pPr>
      <w:ind w:left="720" w:hanging="720"/>
    </w:pPr>
    <w:rPr>
      <w:rFonts w:eastAsiaTheme="minorHAnsi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A2087F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087F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A20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087F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A2087F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A2087F"/>
    <w:pPr>
      <w:widowControl w:val="0"/>
      <w:tabs>
        <w:tab w:val="left" w:pos="280"/>
      </w:tabs>
      <w:autoSpaceDE w:val="0"/>
      <w:autoSpaceDN w:val="0"/>
      <w:adjustRightInd w:val="0"/>
      <w:ind w:left="1440" w:hanging="36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A2087F"/>
    <w:pPr>
      <w:ind w:left="720" w:hanging="360"/>
    </w:pPr>
    <w:rPr>
      <w:color w:val="000000"/>
    </w:rPr>
  </w:style>
  <w:style w:type="table" w:styleId="TableGrid">
    <w:name w:val="Table Grid"/>
    <w:basedOn w:val="TableNormal"/>
    <w:uiPriority w:val="59"/>
    <w:rsid w:val="00A2087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1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mCQUMrbm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F7A4D-DB51-4002-8649-E09CA808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Lilly</dc:creator>
  <cp:keywords/>
  <dc:description/>
  <cp:lastModifiedBy>Martin Fox</cp:lastModifiedBy>
  <cp:revision>14</cp:revision>
  <dcterms:created xsi:type="dcterms:W3CDTF">2019-08-13T15:22:00Z</dcterms:created>
  <dcterms:modified xsi:type="dcterms:W3CDTF">2020-02-20T14:17:00Z</dcterms:modified>
</cp:coreProperties>
</file>