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A3DA3" w14:textId="43CA2F45" w:rsidR="00F4239B" w:rsidRPr="007C5BA1" w:rsidRDefault="00F26D98" w:rsidP="000971D1">
      <w:pPr>
        <w:rPr>
          <w:b/>
        </w:rPr>
      </w:pPr>
      <w:r>
        <w:rPr>
          <w:b/>
        </w:rPr>
        <w:t>Sample Representativeness 1 ‒</w:t>
      </w:r>
      <w:r w:rsidR="00F4239B" w:rsidRPr="007C5BA1">
        <w:rPr>
          <w:b/>
        </w:rPr>
        <w:t xml:space="preserve"> Bald Men with Cellos</w:t>
      </w:r>
    </w:p>
    <w:p w14:paraId="02FB6FFC" w14:textId="77777777" w:rsidR="00F4239B" w:rsidRDefault="00F4239B" w:rsidP="000971D1"/>
    <w:p w14:paraId="484925DD" w14:textId="63EAE171" w:rsidR="0019583D" w:rsidRDefault="0019583D" w:rsidP="000971D1">
      <w:r w:rsidRPr="000971D1">
        <w:t xml:space="preserve">Read </w:t>
      </w:r>
      <w:r w:rsidR="00667E0E">
        <w:t xml:space="preserve">the article below </w:t>
      </w:r>
      <w:r w:rsidR="00667E0E" w:rsidRPr="00667E0E">
        <w:rPr>
          <w:i/>
        </w:rPr>
        <w:t>High art: '</w:t>
      </w:r>
      <w:r w:rsidR="00F4239B">
        <w:rPr>
          <w:i/>
        </w:rPr>
        <w:t>B</w:t>
      </w:r>
      <w:r w:rsidR="00667E0E" w:rsidRPr="00667E0E">
        <w:rPr>
          <w:i/>
        </w:rPr>
        <w:t>ald men with cellos'</w:t>
      </w:r>
      <w:r w:rsidR="000971D1">
        <w:t xml:space="preserve">, which is linked to </w:t>
      </w:r>
      <w:r w:rsidR="00F4239B">
        <w:t xml:space="preserve">Chapter 9 in </w:t>
      </w:r>
      <w:r w:rsidR="000971D1">
        <w:t xml:space="preserve">the </w:t>
      </w:r>
      <w:r w:rsidR="00F4239B">
        <w:t xml:space="preserve">book </w:t>
      </w:r>
      <w:r w:rsidR="000971D1">
        <w:t>by Opie and Brown (2019),</w:t>
      </w:r>
      <w:r w:rsidR="008D3DC4" w:rsidRPr="000971D1">
        <w:t xml:space="preserve"> and then decide on how representative you think the sample </w:t>
      </w:r>
      <w:r w:rsidR="00EE1BAC">
        <w:t xml:space="preserve">chosen for the report </w:t>
      </w:r>
      <w:r w:rsidR="008D3DC4" w:rsidRPr="000971D1">
        <w:t>is.</w:t>
      </w:r>
      <w:r w:rsidR="00F4239B">
        <w:t xml:space="preserve"> </w:t>
      </w:r>
      <w:r w:rsidR="00EE1BAC">
        <w:t xml:space="preserve">Then read the response </w:t>
      </w:r>
      <w:r w:rsidR="0014285B">
        <w:t xml:space="preserve">to this article </w:t>
      </w:r>
      <w:r w:rsidR="00283045" w:rsidRPr="00402D8F">
        <w:rPr>
          <w:rFonts w:ascii="Calibri" w:hAnsi="Calibri" w:cs="Calibri"/>
          <w:bCs/>
          <w:i/>
        </w:rPr>
        <w:t>‘</w:t>
      </w:r>
      <w:r w:rsidR="00283045" w:rsidRPr="00402D8F">
        <w:rPr>
          <w:rFonts w:ascii="Calibri" w:hAnsi="Calibri" w:cs="Calibri"/>
          <w:bCs/>
          <w:i/>
          <w:color w:val="000000"/>
          <w:szCs w:val="27"/>
        </w:rPr>
        <w:t>We're not all old or bald’</w:t>
      </w:r>
      <w:r w:rsidR="00283045" w:rsidRPr="00402D8F">
        <w:rPr>
          <w:rFonts w:ascii="Calibri" w:hAnsi="Calibri" w:cs="Calibri"/>
          <w:color w:val="000000"/>
          <w:szCs w:val="22"/>
        </w:rPr>
        <w:t xml:space="preserve"> </w:t>
      </w:r>
      <w:r w:rsidR="00D95194" w:rsidRPr="00C4620D">
        <w:rPr>
          <w:rFonts w:ascii="Calibri" w:hAnsi="Calibri" w:cs="Calibri"/>
          <w:b/>
          <w:color w:val="000000"/>
          <w:szCs w:val="22"/>
        </w:rPr>
        <w:t>(Sample Rep2)</w:t>
      </w:r>
      <w:r w:rsidR="00D95194">
        <w:rPr>
          <w:rFonts w:ascii="Calibri" w:hAnsi="Calibri" w:cs="Calibri"/>
          <w:color w:val="000000"/>
          <w:szCs w:val="22"/>
        </w:rPr>
        <w:t xml:space="preserve"> </w:t>
      </w:r>
      <w:r w:rsidR="00EE1BAC">
        <w:t xml:space="preserve">and </w:t>
      </w:r>
      <w:r w:rsidR="00667E0E">
        <w:t>make the same kind of analysis</w:t>
      </w:r>
      <w:r w:rsidR="00C4620D">
        <w:t>.</w:t>
      </w:r>
      <w:r w:rsidR="00F4239B">
        <w:t xml:space="preserve"> </w:t>
      </w:r>
      <w:r w:rsidR="00502C37">
        <w:t>You can find a</w:t>
      </w:r>
      <w:r w:rsidR="00C4620D">
        <w:t xml:space="preserve"> discussion of the </w:t>
      </w:r>
      <w:r w:rsidR="00B036AE">
        <w:t>representativeness of the samples on which bot</w:t>
      </w:r>
      <w:r w:rsidR="00F4239B">
        <w:t>h</w:t>
      </w:r>
      <w:r w:rsidR="00B036AE">
        <w:t xml:space="preserve"> articles </w:t>
      </w:r>
      <w:proofErr w:type="gramStart"/>
      <w:r w:rsidR="00B036AE">
        <w:t>are based</w:t>
      </w:r>
      <w:proofErr w:type="gramEnd"/>
      <w:r w:rsidR="00502C37">
        <w:t xml:space="preserve"> in the file </w:t>
      </w:r>
      <w:r w:rsidR="00502C37" w:rsidRPr="007C5BA1">
        <w:rPr>
          <w:b/>
        </w:rPr>
        <w:t xml:space="preserve">Sample Rep 1 </w:t>
      </w:r>
      <w:r w:rsidR="00DE7A80">
        <w:rPr>
          <w:b/>
        </w:rPr>
        <w:t>and</w:t>
      </w:r>
      <w:r w:rsidR="00F26D98">
        <w:rPr>
          <w:b/>
        </w:rPr>
        <w:t xml:space="preserve"> 2 ‒</w:t>
      </w:r>
      <w:r w:rsidR="00502C37" w:rsidRPr="007C5BA1">
        <w:rPr>
          <w:b/>
        </w:rPr>
        <w:t xml:space="preserve"> Discussion</w:t>
      </w:r>
    </w:p>
    <w:p w14:paraId="645BE6C9" w14:textId="77777777" w:rsidR="00667E0E" w:rsidRPr="000971D1" w:rsidRDefault="00667E0E" w:rsidP="000971D1"/>
    <w:p w14:paraId="2890769A" w14:textId="77777777" w:rsidR="0019583D" w:rsidRPr="000971D1" w:rsidRDefault="0019583D" w:rsidP="000971D1"/>
    <w:p w14:paraId="446007BD" w14:textId="1B9FC8D9" w:rsidR="00C1111F" w:rsidRPr="00F26D98" w:rsidRDefault="00C1111F" w:rsidP="00F26D98">
      <w:pPr>
        <w:pStyle w:val="Heading2"/>
        <w:jc w:val="center"/>
        <w:rPr>
          <w:b/>
          <w:bCs/>
          <w:szCs w:val="22"/>
          <w:u w:val="none"/>
        </w:rPr>
      </w:pPr>
      <w:r w:rsidRPr="000971D1">
        <w:rPr>
          <w:b/>
          <w:u w:val="none"/>
        </w:rPr>
        <w:t>High art: '</w:t>
      </w:r>
      <w:r w:rsidR="00F4239B">
        <w:rPr>
          <w:b/>
          <w:u w:val="none"/>
        </w:rPr>
        <w:t>B</w:t>
      </w:r>
      <w:r w:rsidRPr="000971D1">
        <w:rPr>
          <w:b/>
          <w:u w:val="none"/>
        </w:rPr>
        <w:t>ald men with cellos' (TES, 17/12/</w:t>
      </w:r>
      <w:r w:rsidRPr="000971D1">
        <w:rPr>
          <w:b/>
          <w:szCs w:val="22"/>
          <w:u w:val="none"/>
        </w:rPr>
        <w:t>1999)</w:t>
      </w:r>
    </w:p>
    <w:p w14:paraId="3315AFC8" w14:textId="3CA417B0" w:rsidR="00C1111F" w:rsidRPr="006F7993" w:rsidRDefault="00C1111F" w:rsidP="006F7993">
      <w:pPr>
        <w:ind w:left="426" w:right="379"/>
        <w:rPr>
          <w:i/>
        </w:rPr>
      </w:pPr>
      <w:r w:rsidRPr="006F7993">
        <w:rPr>
          <w:i/>
        </w:rPr>
        <w:t xml:space="preserve">CLASSICAL music concerts are </w:t>
      </w:r>
      <w:r w:rsidR="00F4239B" w:rsidRPr="006F7993">
        <w:rPr>
          <w:i/>
        </w:rPr>
        <w:t>‘</w:t>
      </w:r>
      <w:r w:rsidRPr="006F7993">
        <w:rPr>
          <w:i/>
        </w:rPr>
        <w:t>baggy and sad</w:t>
      </w:r>
      <w:r w:rsidR="00F4239B" w:rsidRPr="006F7993">
        <w:rPr>
          <w:i/>
        </w:rPr>
        <w:t>’</w:t>
      </w:r>
      <w:r w:rsidRPr="006F7993">
        <w:rPr>
          <w:i/>
        </w:rPr>
        <w:t xml:space="preserve">, art galleries are </w:t>
      </w:r>
      <w:r w:rsidR="00F4239B" w:rsidRPr="006F7993">
        <w:rPr>
          <w:i/>
        </w:rPr>
        <w:t>‘</w:t>
      </w:r>
      <w:r w:rsidRPr="006F7993">
        <w:rPr>
          <w:i/>
        </w:rPr>
        <w:t>quiet and boring</w:t>
      </w:r>
      <w:r w:rsidR="00F4239B" w:rsidRPr="006F7993">
        <w:rPr>
          <w:i/>
        </w:rPr>
        <w:t>’</w:t>
      </w:r>
      <w:r w:rsidRPr="006F7993">
        <w:rPr>
          <w:i/>
        </w:rPr>
        <w:t xml:space="preserve">, ballet is </w:t>
      </w:r>
      <w:r w:rsidR="00F4239B" w:rsidRPr="006F7993">
        <w:rPr>
          <w:i/>
        </w:rPr>
        <w:t>‘</w:t>
      </w:r>
      <w:r w:rsidRPr="006F7993">
        <w:rPr>
          <w:i/>
        </w:rPr>
        <w:t>pointless</w:t>
      </w:r>
      <w:r w:rsidR="00F4239B" w:rsidRPr="006F7993">
        <w:rPr>
          <w:i/>
        </w:rPr>
        <w:t>’</w:t>
      </w:r>
      <w:r w:rsidRPr="006F7993">
        <w:rPr>
          <w:i/>
        </w:rPr>
        <w:t xml:space="preserve"> and historic buildings are </w:t>
      </w:r>
      <w:r w:rsidR="00F4239B" w:rsidRPr="006F7993">
        <w:rPr>
          <w:i/>
        </w:rPr>
        <w:t>‘</w:t>
      </w:r>
      <w:r w:rsidRPr="006F7993">
        <w:rPr>
          <w:i/>
        </w:rPr>
        <w:t>not for young people</w:t>
      </w:r>
      <w:r w:rsidR="00F4239B" w:rsidRPr="006F7993">
        <w:rPr>
          <w:i/>
        </w:rPr>
        <w:t>’</w:t>
      </w:r>
      <w:r w:rsidRPr="006F7993">
        <w:rPr>
          <w:i/>
        </w:rPr>
        <w:t xml:space="preserve">. The findings of a new study </w:t>
      </w:r>
      <w:r w:rsidR="00C907A1" w:rsidRPr="006F7993">
        <w:rPr>
          <w:i/>
        </w:rPr>
        <w:t>(</w:t>
      </w:r>
      <w:r w:rsidR="000971D1" w:rsidRPr="006F7993">
        <w:rPr>
          <w:i/>
        </w:rPr>
        <w:t>Harland and Kinder</w:t>
      </w:r>
      <w:r w:rsidR="00C907A1" w:rsidRPr="006F7993">
        <w:rPr>
          <w:i/>
        </w:rPr>
        <w:t xml:space="preserve">, 1999) </w:t>
      </w:r>
      <w:r w:rsidRPr="006F7993">
        <w:rPr>
          <w:i/>
        </w:rPr>
        <w:t xml:space="preserve">on teenage attitudes to high culture will make depressing, if predictable, reading for arts professionals and educationists alike. </w:t>
      </w:r>
    </w:p>
    <w:p w14:paraId="6205687E" w14:textId="36F91939" w:rsidR="00C1111F" w:rsidRPr="006F7993" w:rsidRDefault="00C1111F" w:rsidP="006F7993">
      <w:pPr>
        <w:pStyle w:val="NormalWeb"/>
        <w:ind w:left="426" w:right="379"/>
        <w:rPr>
          <w:i/>
        </w:rPr>
      </w:pPr>
      <w:r w:rsidRPr="006F7993">
        <w:rPr>
          <w:i/>
        </w:rPr>
        <w:t xml:space="preserve">Launching the report, Trevor Nunn, artistic director of the Royal National Theatre, said: </w:t>
      </w:r>
      <w:r w:rsidR="00F4239B" w:rsidRPr="006F7993">
        <w:rPr>
          <w:i/>
        </w:rPr>
        <w:t>‘</w:t>
      </w:r>
      <w:r w:rsidRPr="006F7993">
        <w:rPr>
          <w:i/>
        </w:rPr>
        <w:t>This is the strongest evidence yet of the challenge that we in the arts face.</w:t>
      </w:r>
      <w:r w:rsidR="00F4239B" w:rsidRPr="006F7993">
        <w:rPr>
          <w:i/>
        </w:rPr>
        <w:t>’</w:t>
      </w:r>
      <w:r w:rsidRPr="006F7993">
        <w:rPr>
          <w:i/>
        </w:rPr>
        <w:t xml:space="preserve"> He called on the Government to provide more funding for youth access projects. Twenty teenagers aged 14 to 18, from widely differing backgrounds were asked by researchers from the National Foundation for Educational Research what they thought about art galleries, theatre, dance, classical concerts, historic buildings and museums. </w:t>
      </w:r>
    </w:p>
    <w:p w14:paraId="048685A4" w14:textId="0A9CA093" w:rsidR="00C1111F" w:rsidRPr="006F7993" w:rsidRDefault="00C1111F" w:rsidP="006F7993">
      <w:pPr>
        <w:pStyle w:val="NormalWeb"/>
        <w:ind w:left="426" w:right="379"/>
        <w:rPr>
          <w:i/>
        </w:rPr>
      </w:pPr>
      <w:r w:rsidRPr="006F7993">
        <w:rPr>
          <w:i/>
        </w:rPr>
        <w:t xml:space="preserve">Only theatre generated any enthusiasm while the most commonly-used word to describe other forms of art was "boring". Many </w:t>
      </w:r>
      <w:r w:rsidR="0014285B" w:rsidRPr="006F7993">
        <w:rPr>
          <w:i/>
        </w:rPr>
        <w:t>were</w:t>
      </w:r>
      <w:r w:rsidRPr="006F7993">
        <w:rPr>
          <w:i/>
        </w:rPr>
        <w:t xml:space="preserve"> the preserve of the old and the rich. Only one of the 20 teenagers was positive about classical music. One 14-year-old girl said that at the theatre: </w:t>
      </w:r>
      <w:r w:rsidR="00F4239B" w:rsidRPr="006F7993">
        <w:rPr>
          <w:i/>
        </w:rPr>
        <w:t>’</w:t>
      </w:r>
      <w:r w:rsidRPr="006F7993">
        <w:rPr>
          <w:i/>
        </w:rPr>
        <w:t xml:space="preserve">You are looked down on by the old people, like </w:t>
      </w:r>
      <w:r w:rsidR="00F4239B" w:rsidRPr="006F7993">
        <w:rPr>
          <w:i/>
        </w:rPr>
        <w:t>“</w:t>
      </w:r>
      <w:r w:rsidRPr="006F7993">
        <w:rPr>
          <w:i/>
        </w:rPr>
        <w:t>oh, you are not meant to be in here</w:t>
      </w:r>
      <w:r w:rsidR="00F4239B" w:rsidRPr="006F7993">
        <w:rPr>
          <w:i/>
        </w:rPr>
        <w:t>”</w:t>
      </w:r>
      <w:r w:rsidRPr="006F7993">
        <w:rPr>
          <w:i/>
        </w:rPr>
        <w:t>.</w:t>
      </w:r>
      <w:r w:rsidR="00F4239B" w:rsidRPr="006F7993">
        <w:rPr>
          <w:i/>
        </w:rPr>
        <w:t>’</w:t>
      </w:r>
      <w:r w:rsidRPr="006F7993">
        <w:rPr>
          <w:i/>
        </w:rPr>
        <w:t xml:space="preserve"> </w:t>
      </w:r>
    </w:p>
    <w:p w14:paraId="37C18C37" w14:textId="7411CBF6" w:rsidR="00C1111F" w:rsidRPr="006F7993" w:rsidRDefault="00C1111F" w:rsidP="006F7993">
      <w:pPr>
        <w:pStyle w:val="NormalWeb"/>
        <w:ind w:left="426" w:right="379"/>
        <w:rPr>
          <w:i/>
        </w:rPr>
      </w:pPr>
      <w:r w:rsidRPr="006F7993">
        <w:rPr>
          <w:i/>
        </w:rPr>
        <w:t xml:space="preserve">Of classical concerts, another teenager said: </w:t>
      </w:r>
      <w:r w:rsidR="00F4239B" w:rsidRPr="006F7993">
        <w:rPr>
          <w:i/>
        </w:rPr>
        <w:t>‘</w:t>
      </w:r>
      <w:r w:rsidRPr="006F7993">
        <w:rPr>
          <w:i/>
        </w:rPr>
        <w:t>You have to sit for ages in an uncomfortable seat, with the tiniest pair of binoculars, viewing some bald fellow with a cello.</w:t>
      </w:r>
      <w:r w:rsidR="00F4239B" w:rsidRPr="006F7993">
        <w:rPr>
          <w:i/>
        </w:rPr>
        <w:t>’</w:t>
      </w:r>
      <w:r w:rsidRPr="006F7993">
        <w:rPr>
          <w:i/>
        </w:rPr>
        <w:t xml:space="preserve"> The authors acknowledge that half of the battle for arts organisations is getting teenagers to a venue in the first place. Only three interviewees had been to a classical concert and 14 to the theatre in the past year. But of those most had ended up enjoying it. </w:t>
      </w:r>
    </w:p>
    <w:p w14:paraId="172CF732" w14:textId="4A1EC92C" w:rsidR="00C1111F" w:rsidRPr="006F7993" w:rsidRDefault="00C1111F" w:rsidP="006F7993">
      <w:pPr>
        <w:pStyle w:val="NormalWeb"/>
        <w:ind w:left="426" w:right="379"/>
        <w:rPr>
          <w:i/>
        </w:rPr>
      </w:pPr>
      <w:r w:rsidRPr="006F7993">
        <w:rPr>
          <w:i/>
        </w:rPr>
        <w:t xml:space="preserve">The teenagers suggested venues could make themselves more attractive by staging shorter performances or laying on facilities like coffee bars. Among solutions offered in the report </w:t>
      </w:r>
      <w:r w:rsidRPr="006F7993">
        <w:rPr>
          <w:bCs/>
          <w:i/>
        </w:rPr>
        <w:t>Crossing the line: extending young people's access to cultural venues</w:t>
      </w:r>
      <w:r w:rsidRPr="006F7993">
        <w:rPr>
          <w:i/>
        </w:rPr>
        <w:t xml:space="preserve">, commissioned by the arts awarding body the </w:t>
      </w:r>
      <w:proofErr w:type="spellStart"/>
      <w:r w:rsidRPr="006F7993">
        <w:rPr>
          <w:i/>
        </w:rPr>
        <w:t>Gulbenkian</w:t>
      </w:r>
      <w:proofErr w:type="spellEnd"/>
      <w:r w:rsidRPr="006F7993">
        <w:rPr>
          <w:i/>
        </w:rPr>
        <w:t xml:space="preserve"> Foundation and the Arts Council, are </w:t>
      </w:r>
      <w:r w:rsidR="00F4239B" w:rsidRPr="006F7993">
        <w:rPr>
          <w:i/>
        </w:rPr>
        <w:t>‘</w:t>
      </w:r>
      <w:r w:rsidRPr="006F7993">
        <w:rPr>
          <w:i/>
        </w:rPr>
        <w:t>arts mentors</w:t>
      </w:r>
      <w:r w:rsidR="00F4239B" w:rsidRPr="006F7993">
        <w:rPr>
          <w:i/>
        </w:rPr>
        <w:t>’</w:t>
      </w:r>
      <w:r w:rsidRPr="006F7993">
        <w:rPr>
          <w:i/>
        </w:rPr>
        <w:t xml:space="preserve">: older people who would accompany teenagers to events. </w:t>
      </w:r>
    </w:p>
    <w:p w14:paraId="15EA23B9" w14:textId="48E3E710" w:rsidR="00C1111F" w:rsidRDefault="00C1111F" w:rsidP="000971D1"/>
    <w:p w14:paraId="44F1D0B6" w14:textId="6169AC6C" w:rsidR="00F4239B" w:rsidRDefault="00F4239B" w:rsidP="000971D1"/>
    <w:p w14:paraId="2E08A79E" w14:textId="77777777" w:rsidR="007C5BA1" w:rsidRDefault="007C5BA1" w:rsidP="000971D1"/>
    <w:p w14:paraId="021EEE67" w14:textId="77777777" w:rsidR="007C5BA1" w:rsidRDefault="007C5BA1" w:rsidP="000971D1"/>
    <w:p w14:paraId="23CA7E20" w14:textId="27F79DB3" w:rsidR="007C5BA1" w:rsidRPr="007C5BA1" w:rsidRDefault="007C5BA1" w:rsidP="000971D1">
      <w:pPr>
        <w:rPr>
          <w:b/>
        </w:rPr>
      </w:pPr>
      <w:r w:rsidRPr="007C5BA1">
        <w:rPr>
          <w:b/>
        </w:rPr>
        <w:t>References</w:t>
      </w:r>
    </w:p>
    <w:p w14:paraId="01BDBF64" w14:textId="77777777" w:rsidR="007C5BA1" w:rsidRDefault="007C5BA1" w:rsidP="000971D1">
      <w:bookmarkStart w:id="0" w:name="_GoBack"/>
      <w:bookmarkEnd w:id="0"/>
    </w:p>
    <w:p w14:paraId="0A96028C" w14:textId="1D131FF5" w:rsidR="00A519BD" w:rsidRPr="007C5BA1" w:rsidRDefault="00A519BD" w:rsidP="000971D1">
      <w:r w:rsidRPr="007C5BA1">
        <w:t>Harland, J. and Kinder, K.</w:t>
      </w:r>
      <w:r w:rsidR="00F4239B" w:rsidRPr="007C5BA1">
        <w:t xml:space="preserve"> (eds)</w:t>
      </w:r>
      <w:r w:rsidRPr="007C5BA1">
        <w:t xml:space="preserve"> (1999) </w:t>
      </w:r>
      <w:r w:rsidRPr="007C5BA1">
        <w:rPr>
          <w:bCs/>
          <w:i/>
        </w:rPr>
        <w:t>Crossing the Line – Extending Young People’s Access to Cultural Venues</w:t>
      </w:r>
      <w:r w:rsidR="00F4239B" w:rsidRPr="007C5BA1">
        <w:t>.</w:t>
      </w:r>
      <w:r w:rsidRPr="007C5BA1">
        <w:t xml:space="preserve"> </w:t>
      </w:r>
      <w:proofErr w:type="spellStart"/>
      <w:r w:rsidRPr="007C5BA1">
        <w:t>Calouste</w:t>
      </w:r>
      <w:proofErr w:type="spellEnd"/>
      <w:r w:rsidRPr="007C5BA1">
        <w:t xml:space="preserve"> </w:t>
      </w:r>
      <w:proofErr w:type="spellStart"/>
      <w:r w:rsidRPr="007C5BA1">
        <w:t>Gulbenkian</w:t>
      </w:r>
      <w:proofErr w:type="spellEnd"/>
      <w:r w:rsidRPr="007C5BA1">
        <w:t xml:space="preserve"> Foundation</w:t>
      </w:r>
      <w:r w:rsidR="00F4239B" w:rsidRPr="007C5BA1">
        <w:t>.</w:t>
      </w:r>
      <w:r w:rsidRPr="007C5BA1">
        <w:t xml:space="preserve"> </w:t>
      </w:r>
    </w:p>
    <w:p w14:paraId="6A243870" w14:textId="772C6245" w:rsidR="00A519BD" w:rsidRPr="007C5BA1" w:rsidRDefault="00A519BD" w:rsidP="000971D1"/>
    <w:p w14:paraId="235392C6" w14:textId="1864A7A1" w:rsidR="00A07272" w:rsidRPr="007C5BA1" w:rsidRDefault="00A07272" w:rsidP="00A07272">
      <w:r w:rsidRPr="007C5BA1">
        <w:rPr>
          <w:bCs/>
        </w:rPr>
        <w:t>Opie, C. and Brown, D. (</w:t>
      </w:r>
      <w:proofErr w:type="gramStart"/>
      <w:r w:rsidRPr="007C5BA1">
        <w:rPr>
          <w:bCs/>
        </w:rPr>
        <w:t>eds</w:t>
      </w:r>
      <w:proofErr w:type="gramEnd"/>
      <w:r w:rsidRPr="007C5BA1">
        <w:rPr>
          <w:bCs/>
        </w:rPr>
        <w:t>) (2019</w:t>
      </w:r>
      <w:r w:rsidRPr="00F26D98">
        <w:rPr>
          <w:bCs/>
        </w:rPr>
        <w:t>)</w:t>
      </w:r>
      <w:r w:rsidRPr="007C5BA1">
        <w:rPr>
          <w:b/>
          <w:bCs/>
        </w:rPr>
        <w:t xml:space="preserve"> </w:t>
      </w:r>
      <w:r w:rsidRPr="007C5BA1">
        <w:rPr>
          <w:bCs/>
          <w:i/>
        </w:rPr>
        <w:t>Getting Started in Your Educational Research: A Student’s Guide to Design, Data Production and Analysis</w:t>
      </w:r>
      <w:r w:rsidR="00F4239B" w:rsidRPr="007C5BA1">
        <w:rPr>
          <w:bCs/>
        </w:rPr>
        <w:t>.</w:t>
      </w:r>
      <w:r w:rsidRPr="007C5BA1">
        <w:rPr>
          <w:bCs/>
        </w:rPr>
        <w:t xml:space="preserve"> </w:t>
      </w:r>
      <w:r w:rsidRPr="007C5BA1">
        <w:t>London</w:t>
      </w:r>
      <w:r w:rsidR="00F4239B" w:rsidRPr="007C5BA1">
        <w:t>: Sage.</w:t>
      </w:r>
    </w:p>
    <w:p w14:paraId="67D29C0F" w14:textId="3BF97BD7" w:rsidR="00C158CF" w:rsidRPr="007C5BA1" w:rsidRDefault="00C158CF" w:rsidP="00C158CF">
      <w:pPr>
        <w:rPr>
          <w:rFonts w:cs="Calibri"/>
          <w:color w:val="000000"/>
          <w:szCs w:val="22"/>
        </w:rPr>
      </w:pPr>
    </w:p>
    <w:p w14:paraId="1D60FEE9" w14:textId="67C9D4B3" w:rsidR="00F4239B" w:rsidRPr="00494D9B" w:rsidRDefault="00F4239B" w:rsidP="00F4239B">
      <w:pPr>
        <w:pStyle w:val="REFReferenceText"/>
        <w:rPr>
          <w:rFonts w:asciiTheme="minorHAnsi" w:hAnsiTheme="minorHAnsi"/>
          <w:sz w:val="24"/>
        </w:rPr>
      </w:pPr>
      <w:r w:rsidRPr="00494D9B">
        <w:rPr>
          <w:rFonts w:asciiTheme="minorHAnsi" w:hAnsiTheme="minorHAnsi"/>
          <w:sz w:val="24"/>
        </w:rPr>
        <w:t xml:space="preserve">TES (1999) </w:t>
      </w:r>
      <w:r w:rsidRPr="00494D9B">
        <w:rPr>
          <w:rFonts w:asciiTheme="minorHAnsi" w:hAnsiTheme="minorHAnsi"/>
          <w:bCs/>
          <w:i/>
          <w:sz w:val="24"/>
        </w:rPr>
        <w:t>High Art: ‘Bald men with cellos’</w:t>
      </w:r>
      <w:r w:rsidRPr="00494D9B">
        <w:rPr>
          <w:rFonts w:asciiTheme="minorHAnsi" w:hAnsiTheme="minorHAnsi"/>
          <w:sz w:val="24"/>
        </w:rPr>
        <w:t>, Times Educational Supplement (17/12/1999).</w:t>
      </w:r>
    </w:p>
    <w:p w14:paraId="2D1FF69C" w14:textId="77777777" w:rsidR="00F4239B" w:rsidRPr="00494D9B" w:rsidRDefault="00F4239B" w:rsidP="00F4239B">
      <w:pPr>
        <w:pStyle w:val="REFReferenceText"/>
        <w:rPr>
          <w:rFonts w:asciiTheme="minorHAnsi" w:hAnsiTheme="minorHAnsi"/>
          <w:sz w:val="24"/>
        </w:rPr>
      </w:pPr>
      <w:r w:rsidRPr="00494D9B">
        <w:rPr>
          <w:rFonts w:asciiTheme="minorHAnsi" w:hAnsiTheme="minorHAnsi"/>
          <w:sz w:val="24"/>
        </w:rPr>
        <w:t xml:space="preserve">TES (2000) </w:t>
      </w:r>
      <w:r w:rsidRPr="00494D9B">
        <w:rPr>
          <w:rFonts w:asciiTheme="minorHAnsi" w:hAnsiTheme="minorHAnsi"/>
          <w:bCs/>
          <w:i/>
          <w:sz w:val="24"/>
        </w:rPr>
        <w:t>We’re not all old or bald</w:t>
      </w:r>
      <w:proofErr w:type="gramStart"/>
      <w:r w:rsidRPr="00494D9B">
        <w:rPr>
          <w:rFonts w:asciiTheme="minorHAnsi" w:hAnsiTheme="minorHAnsi"/>
          <w:bCs/>
          <w:i/>
          <w:sz w:val="24"/>
        </w:rPr>
        <w:t>!</w:t>
      </w:r>
      <w:r w:rsidRPr="00494D9B">
        <w:rPr>
          <w:rFonts w:asciiTheme="minorHAnsi" w:hAnsiTheme="minorHAnsi"/>
          <w:i/>
          <w:sz w:val="24"/>
        </w:rPr>
        <w:t>,</w:t>
      </w:r>
      <w:proofErr w:type="gramEnd"/>
      <w:r w:rsidRPr="00494D9B">
        <w:rPr>
          <w:rFonts w:asciiTheme="minorHAnsi" w:hAnsiTheme="minorHAnsi"/>
          <w:sz w:val="24"/>
        </w:rPr>
        <w:t xml:space="preserve"> Times Educational Supplement (28/1/2000).</w:t>
      </w:r>
    </w:p>
    <w:p w14:paraId="1300B65E" w14:textId="77777777" w:rsidR="00F4239B" w:rsidRPr="007403C7" w:rsidRDefault="00F4239B" w:rsidP="00C158CF">
      <w:pPr>
        <w:rPr>
          <w:rFonts w:ascii="Calibri" w:hAnsi="Calibri" w:cs="Calibri"/>
          <w:color w:val="000000"/>
          <w:szCs w:val="22"/>
        </w:rPr>
      </w:pPr>
    </w:p>
    <w:sectPr w:rsidR="00F4239B" w:rsidRPr="0074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91004"/>
    <w:multiLevelType w:val="hybridMultilevel"/>
    <w:tmpl w:val="45D434DE"/>
    <w:lvl w:ilvl="0" w:tplc="E3AAB62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1F"/>
    <w:rsid w:val="000732E5"/>
    <w:rsid w:val="000971D1"/>
    <w:rsid w:val="0014285B"/>
    <w:rsid w:val="00167E0C"/>
    <w:rsid w:val="0019583D"/>
    <w:rsid w:val="00283045"/>
    <w:rsid w:val="00306947"/>
    <w:rsid w:val="00494D9B"/>
    <w:rsid w:val="00502C37"/>
    <w:rsid w:val="00627B69"/>
    <w:rsid w:val="00667E0E"/>
    <w:rsid w:val="006F7993"/>
    <w:rsid w:val="00792B43"/>
    <w:rsid w:val="007C5BA1"/>
    <w:rsid w:val="008D3DC4"/>
    <w:rsid w:val="00A07272"/>
    <w:rsid w:val="00A519BD"/>
    <w:rsid w:val="00B036AE"/>
    <w:rsid w:val="00B0556E"/>
    <w:rsid w:val="00C1111F"/>
    <w:rsid w:val="00C158CF"/>
    <w:rsid w:val="00C4620D"/>
    <w:rsid w:val="00C907A1"/>
    <w:rsid w:val="00D25ECA"/>
    <w:rsid w:val="00D95194"/>
    <w:rsid w:val="00DE7A80"/>
    <w:rsid w:val="00EE1BAC"/>
    <w:rsid w:val="00F26D98"/>
    <w:rsid w:val="00F4239B"/>
    <w:rsid w:val="00FE1E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F27CF"/>
  <w15:docId w15:val="{E6E80FF0-7442-4F9F-8E4C-80342FC9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D1"/>
    <w:pPr>
      <w:spacing w:after="0" w:line="240" w:lineRule="auto"/>
    </w:pPr>
    <w:rPr>
      <w:rFonts w:eastAsia="Times New Roman" w:cstheme="minorHAnsi"/>
      <w:sz w:val="24"/>
      <w:szCs w:val="24"/>
    </w:rPr>
  </w:style>
  <w:style w:type="paragraph" w:styleId="Heading2">
    <w:name w:val="heading 2"/>
    <w:basedOn w:val="Heading4"/>
    <w:next w:val="Normal"/>
    <w:link w:val="Heading2Char"/>
    <w:qFormat/>
    <w:rsid w:val="00C1111F"/>
    <w:pPr>
      <w:keepLines w:val="0"/>
      <w:spacing w:before="0" w:line="480" w:lineRule="auto"/>
      <w:outlineLvl w:val="1"/>
    </w:pPr>
    <w:rPr>
      <w:rFonts w:ascii="Calibri" w:eastAsia="Times New Roman" w:hAnsi="Calibri" w:cs="Calibri"/>
      <w:color w:val="auto"/>
      <w:u w:val="single"/>
    </w:rPr>
  </w:style>
  <w:style w:type="paragraph" w:styleId="Heading4">
    <w:name w:val="heading 4"/>
    <w:basedOn w:val="Normal"/>
    <w:next w:val="Normal"/>
    <w:link w:val="Heading4Char"/>
    <w:uiPriority w:val="9"/>
    <w:semiHidden/>
    <w:unhideWhenUsed/>
    <w:qFormat/>
    <w:rsid w:val="00C111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111F"/>
    <w:rPr>
      <w:rFonts w:ascii="Calibri" w:eastAsia="Times New Roman" w:hAnsi="Calibri" w:cs="Calibri"/>
      <w:i/>
      <w:iCs/>
      <w:sz w:val="24"/>
      <w:szCs w:val="24"/>
      <w:u w:val="single"/>
    </w:rPr>
  </w:style>
  <w:style w:type="paragraph" w:styleId="NormalWeb">
    <w:name w:val="Normal (Web)"/>
    <w:basedOn w:val="Normal"/>
    <w:semiHidden/>
    <w:rsid w:val="00C1111F"/>
    <w:pPr>
      <w:spacing w:before="100" w:beforeAutospacing="1" w:after="100" w:afterAutospacing="1"/>
    </w:pPr>
  </w:style>
  <w:style w:type="character" w:customStyle="1" w:styleId="Heading4Char">
    <w:name w:val="Heading 4 Char"/>
    <w:basedOn w:val="DefaultParagraphFont"/>
    <w:link w:val="Heading4"/>
    <w:uiPriority w:val="9"/>
    <w:semiHidden/>
    <w:rsid w:val="00C1111F"/>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F42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39B"/>
    <w:rPr>
      <w:rFonts w:ascii="Lucida Grande" w:eastAsia="Times New Roman" w:hAnsi="Lucida Grande" w:cs="Lucida Grande"/>
      <w:sz w:val="18"/>
      <w:szCs w:val="18"/>
    </w:rPr>
  </w:style>
  <w:style w:type="paragraph" w:customStyle="1" w:styleId="REFReferenceText">
    <w:name w:val="REF Reference Text"/>
    <w:basedOn w:val="Normal"/>
    <w:qFormat/>
    <w:rsid w:val="00F4239B"/>
    <w:pPr>
      <w:spacing w:after="240" w:line="480" w:lineRule="auto"/>
      <w:jc w:val="both"/>
    </w:pPr>
    <w:rPr>
      <w:rFonts w:ascii="Times New Roman" w:eastAsiaTheme="minorHAnsi" w:hAnsi="Times New Roman" w:cstheme="minorBidi"/>
      <w:iCs/>
      <w:sz w:val="22"/>
    </w:rPr>
  </w:style>
  <w:style w:type="character" w:styleId="CommentReference">
    <w:name w:val="annotation reference"/>
    <w:basedOn w:val="DefaultParagraphFont"/>
    <w:uiPriority w:val="99"/>
    <w:semiHidden/>
    <w:unhideWhenUsed/>
    <w:rsid w:val="00F4239B"/>
    <w:rPr>
      <w:sz w:val="18"/>
      <w:szCs w:val="18"/>
    </w:rPr>
  </w:style>
  <w:style w:type="paragraph" w:styleId="CommentText">
    <w:name w:val="annotation text"/>
    <w:basedOn w:val="Normal"/>
    <w:link w:val="CommentTextChar"/>
    <w:uiPriority w:val="99"/>
    <w:semiHidden/>
    <w:unhideWhenUsed/>
    <w:rsid w:val="00F4239B"/>
  </w:style>
  <w:style w:type="character" w:customStyle="1" w:styleId="CommentTextChar">
    <w:name w:val="Comment Text Char"/>
    <w:basedOn w:val="DefaultParagraphFont"/>
    <w:link w:val="CommentText"/>
    <w:uiPriority w:val="99"/>
    <w:semiHidden/>
    <w:rsid w:val="00F4239B"/>
    <w:rPr>
      <w:rFonts w:eastAsia="Times New Roman" w:cstheme="minorHAnsi"/>
      <w:sz w:val="24"/>
      <w:szCs w:val="24"/>
    </w:rPr>
  </w:style>
  <w:style w:type="paragraph" w:styleId="CommentSubject">
    <w:name w:val="annotation subject"/>
    <w:basedOn w:val="CommentText"/>
    <w:next w:val="CommentText"/>
    <w:link w:val="CommentSubjectChar"/>
    <w:uiPriority w:val="99"/>
    <w:semiHidden/>
    <w:unhideWhenUsed/>
    <w:rsid w:val="00F4239B"/>
    <w:rPr>
      <w:b/>
      <w:bCs/>
      <w:sz w:val="20"/>
      <w:szCs w:val="20"/>
    </w:rPr>
  </w:style>
  <w:style w:type="character" w:customStyle="1" w:styleId="CommentSubjectChar">
    <w:name w:val="Comment Subject Char"/>
    <w:basedOn w:val="CommentTextChar"/>
    <w:link w:val="CommentSubject"/>
    <w:uiPriority w:val="99"/>
    <w:semiHidden/>
    <w:rsid w:val="00F4239B"/>
    <w:rPr>
      <w:rFonts w:eastAsia="Times New Roman"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Opie</dc:creator>
  <cp:keywords/>
  <dc:description/>
  <cp:lastModifiedBy>Katherine Haw</cp:lastModifiedBy>
  <cp:revision>30</cp:revision>
  <dcterms:created xsi:type="dcterms:W3CDTF">2018-03-11T10:06:00Z</dcterms:created>
  <dcterms:modified xsi:type="dcterms:W3CDTF">2019-02-05T14:44:00Z</dcterms:modified>
</cp:coreProperties>
</file>