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AC95" w14:textId="516BE6DD" w:rsidR="00116FE5" w:rsidRPr="00D8455B" w:rsidRDefault="00D10BF0" w:rsidP="00D10BF0">
      <w:pPr>
        <w:jc w:val="center"/>
        <w:rPr>
          <w:b/>
          <w:bCs/>
          <w:sz w:val="28"/>
          <w:szCs w:val="24"/>
        </w:rPr>
      </w:pPr>
      <w:r w:rsidRPr="00D8455B">
        <w:rPr>
          <w:b/>
          <w:bCs/>
          <w:sz w:val="28"/>
          <w:szCs w:val="24"/>
        </w:rPr>
        <w:t>Topic Summaries or Themes Exercise</w:t>
      </w:r>
    </w:p>
    <w:p w14:paraId="338485D3" w14:textId="710DDF0A" w:rsidR="00D10BF0" w:rsidRPr="00D8455B" w:rsidRDefault="00D10BF0">
      <w:pPr>
        <w:rPr>
          <w:sz w:val="22"/>
          <w:szCs w:val="20"/>
        </w:rPr>
      </w:pPr>
      <w:r w:rsidRPr="00D8455B">
        <w:rPr>
          <w:sz w:val="22"/>
          <w:szCs w:val="20"/>
        </w:rPr>
        <w:t>Read the following ‘theme’ titles and summaries based on f</w:t>
      </w:r>
      <w:r w:rsidR="00ED692B" w:rsidRPr="00D8455B">
        <w:rPr>
          <w:sz w:val="22"/>
          <w:szCs w:val="20"/>
        </w:rPr>
        <w:t>ive</w:t>
      </w:r>
      <w:r w:rsidRPr="00D8455B">
        <w:rPr>
          <w:sz w:val="22"/>
          <w:szCs w:val="20"/>
        </w:rPr>
        <w:t xml:space="preserve"> published TA papers and determine whether the ‘themes’ reported are topic summaries or fully realised, shared meaning</w:t>
      </w:r>
      <w:r w:rsidR="009E2693" w:rsidRPr="00D8455B">
        <w:rPr>
          <w:sz w:val="22"/>
          <w:szCs w:val="20"/>
        </w:rPr>
        <w:t>-</w:t>
      </w:r>
      <w:r w:rsidRPr="00D8455B">
        <w:rPr>
          <w:sz w:val="22"/>
          <w:szCs w:val="20"/>
        </w:rPr>
        <w:t>based themes.</w:t>
      </w:r>
      <w:r w:rsidR="00063593" w:rsidRPr="00D8455B">
        <w:rPr>
          <w:sz w:val="22"/>
          <w:szCs w:val="20"/>
        </w:rPr>
        <w:t xml:space="preserve"> As a brief recap, topic summaries typically summarise and overview participants’ responses in relation to a particular topic area/data collection question </w:t>
      </w:r>
      <w:r w:rsidR="004E0E03">
        <w:rPr>
          <w:sz w:val="22"/>
          <w:szCs w:val="20"/>
        </w:rPr>
        <w:t>–</w:t>
      </w:r>
      <w:r w:rsidR="00063593" w:rsidRPr="00D8455B">
        <w:rPr>
          <w:sz w:val="22"/>
          <w:szCs w:val="20"/>
        </w:rPr>
        <w:t xml:space="preserve"> there is a shared topic, but not shared meaning. In contrast, </w:t>
      </w:r>
      <w:r w:rsidR="00063593" w:rsidRPr="00D8455B">
        <w:rPr>
          <w:i/>
          <w:iCs/>
          <w:sz w:val="22"/>
          <w:szCs w:val="20"/>
        </w:rPr>
        <w:t>themes</w:t>
      </w:r>
      <w:r w:rsidR="00063593" w:rsidRPr="00D8455B">
        <w:rPr>
          <w:sz w:val="22"/>
          <w:szCs w:val="20"/>
        </w:rPr>
        <w:t xml:space="preserve"> in reflexive TA </w:t>
      </w:r>
      <w:r w:rsidR="00CD4EA8" w:rsidRPr="00D8455B">
        <w:rPr>
          <w:sz w:val="22"/>
          <w:szCs w:val="20"/>
        </w:rPr>
        <w:t>can</w:t>
      </w:r>
      <w:r w:rsidR="00063593" w:rsidRPr="00D8455B">
        <w:rPr>
          <w:sz w:val="22"/>
          <w:szCs w:val="20"/>
        </w:rPr>
        <w:t xml:space="preserve"> capture data related to several different topics, but all the data are united </w:t>
      </w:r>
      <w:r w:rsidR="00CD4EA8" w:rsidRPr="00D8455B">
        <w:rPr>
          <w:sz w:val="22"/>
          <w:szCs w:val="20"/>
        </w:rPr>
        <w:t>around</w:t>
      </w:r>
      <w:r w:rsidR="00063593" w:rsidRPr="00D8455B">
        <w:rPr>
          <w:sz w:val="22"/>
          <w:szCs w:val="20"/>
        </w:rPr>
        <w:t xml:space="preserve"> a central concept or idea. This can be something more overtly expressed and on the data surface or it can be something underlying or implicit; in the latter case, the data associated with the theme may on the surface appear disparate.</w:t>
      </w:r>
      <w:r w:rsidR="00E32F3A" w:rsidRPr="00D8455B">
        <w:rPr>
          <w:sz w:val="22"/>
          <w:szCs w:val="20"/>
        </w:rPr>
        <w:t xml:space="preserve"> Keep in mind that themes can be poorly named – so shared meaning themes can at first sight appear to be topic summaries because they have a topic summary-like name</w:t>
      </w:r>
      <w:r w:rsidR="00CD4EA8" w:rsidRPr="00D8455B">
        <w:rPr>
          <w:sz w:val="22"/>
          <w:szCs w:val="20"/>
        </w:rPr>
        <w:t xml:space="preserve"> (e.g. a one-word name)</w:t>
      </w:r>
      <w:r w:rsidR="00E32F3A" w:rsidRPr="00D8455B">
        <w:rPr>
          <w:sz w:val="22"/>
          <w:szCs w:val="20"/>
        </w:rPr>
        <w:t>.</w:t>
      </w:r>
    </w:p>
    <w:p w14:paraId="7495475E" w14:textId="528DF7F6" w:rsidR="00D10BF0" w:rsidRPr="00D8455B" w:rsidRDefault="00D10BF0">
      <w:pPr>
        <w:rPr>
          <w:b/>
          <w:bCs/>
          <w:sz w:val="22"/>
          <w:szCs w:val="20"/>
        </w:rPr>
      </w:pPr>
      <w:r w:rsidRPr="00D8455B">
        <w:rPr>
          <w:b/>
          <w:bCs/>
          <w:sz w:val="22"/>
          <w:szCs w:val="20"/>
        </w:rPr>
        <w:t>Example 1:</w:t>
      </w:r>
      <w:r w:rsidR="00BB290C" w:rsidRPr="00D8455B">
        <w:rPr>
          <w:b/>
          <w:bCs/>
          <w:sz w:val="22"/>
          <w:szCs w:val="20"/>
        </w:rPr>
        <w:t xml:space="preserve"> A study exploring the discussion of genetic testing for Huntington’s Disease in online forums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90C" w:rsidRPr="00D8455B" w14:paraId="4E9D1F3E" w14:textId="77777777" w:rsidTr="00BB290C">
        <w:tc>
          <w:tcPr>
            <w:tcW w:w="9016" w:type="dxa"/>
          </w:tcPr>
          <w:p w14:paraId="56C93DD7" w14:textId="744311FE" w:rsidR="00BB290C" w:rsidRPr="00D8455B" w:rsidRDefault="009E2693" w:rsidP="009E26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8455B">
              <w:rPr>
                <w:sz w:val="22"/>
              </w:rPr>
              <w:t>“Three aspects of the HD testing process were examined as follows: deciding to be tested, preparing for the test and receiving the results” (Smedley &amp; Coulson, 2019: 5)</w:t>
            </w:r>
            <w:r w:rsidR="004E0E03">
              <w:rPr>
                <w:sz w:val="22"/>
              </w:rPr>
              <w:t>.</w:t>
            </w:r>
            <w:r w:rsidR="00B86472" w:rsidRPr="00D8455B">
              <w:rPr>
                <w:sz w:val="22"/>
              </w:rPr>
              <w:t xml:space="preserve"> These ‘aspects’ </w:t>
            </w:r>
            <w:r w:rsidR="00E23191">
              <w:rPr>
                <w:sz w:val="22"/>
              </w:rPr>
              <w:t>we</w:t>
            </w:r>
            <w:r w:rsidR="00E23191" w:rsidRPr="00D8455B">
              <w:rPr>
                <w:sz w:val="22"/>
              </w:rPr>
              <w:t xml:space="preserve">re </w:t>
            </w:r>
            <w:r w:rsidR="00B86472" w:rsidRPr="00D8455B">
              <w:rPr>
                <w:sz w:val="22"/>
              </w:rPr>
              <w:t>described as ‘themes’ in the abstract.</w:t>
            </w:r>
          </w:p>
          <w:p w14:paraId="636EC6F2" w14:textId="5320B279" w:rsidR="004E0E03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Deciding to be tested</w:t>
            </w:r>
            <w:r w:rsidR="00B86472" w:rsidRPr="00D8455B">
              <w:rPr>
                <w:sz w:val="22"/>
                <w:szCs w:val="20"/>
              </w:rPr>
              <w:t xml:space="preserve"> (things that prompted consideration of genetic testing)</w:t>
            </w:r>
            <w:r w:rsidRPr="00D8455B">
              <w:rPr>
                <w:sz w:val="22"/>
                <w:szCs w:val="20"/>
              </w:rPr>
              <w:t xml:space="preserve"> – </w:t>
            </w:r>
            <w:r w:rsidR="004E0E03">
              <w:rPr>
                <w:sz w:val="22"/>
                <w:szCs w:val="20"/>
              </w:rPr>
              <w:t>covered two specific areas:</w:t>
            </w:r>
          </w:p>
          <w:p w14:paraId="1F54603D" w14:textId="54B7081F" w:rsidR="004E0E03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Enquiring about symptoms</w:t>
            </w:r>
            <w:r w:rsidR="004E0E03">
              <w:rPr>
                <w:sz w:val="22"/>
                <w:szCs w:val="20"/>
              </w:rPr>
              <w:t xml:space="preserve">: </w:t>
            </w:r>
            <w:r w:rsidR="00B86472" w:rsidRPr="00D8455B">
              <w:rPr>
                <w:sz w:val="22"/>
                <w:szCs w:val="20"/>
              </w:rPr>
              <w:t xml:space="preserve">at risk individuals </w:t>
            </w:r>
            <w:r w:rsidR="00B25991">
              <w:rPr>
                <w:sz w:val="22"/>
                <w:szCs w:val="20"/>
              </w:rPr>
              <w:t xml:space="preserve">posting to the forum </w:t>
            </w:r>
            <w:r w:rsidR="00B86472" w:rsidRPr="00D8455B">
              <w:rPr>
                <w:sz w:val="22"/>
                <w:szCs w:val="20"/>
              </w:rPr>
              <w:t xml:space="preserve">described symptoms they were experiencing and enquired </w:t>
            </w:r>
            <w:r w:rsidR="00CD4EA8" w:rsidRPr="00D8455B">
              <w:rPr>
                <w:sz w:val="22"/>
                <w:szCs w:val="20"/>
              </w:rPr>
              <w:t xml:space="preserve">about </w:t>
            </w:r>
            <w:r w:rsidR="00B86472" w:rsidRPr="00D8455B">
              <w:rPr>
                <w:sz w:val="22"/>
                <w:szCs w:val="20"/>
              </w:rPr>
              <w:t>whether these might indicate they have inherited the faulty gene</w:t>
            </w:r>
            <w:r w:rsidR="004E0E03">
              <w:rPr>
                <w:sz w:val="22"/>
                <w:szCs w:val="20"/>
              </w:rPr>
              <w:t>;</w:t>
            </w:r>
            <w:r w:rsidR="00B86472" w:rsidRPr="00D8455B">
              <w:rPr>
                <w:sz w:val="22"/>
                <w:szCs w:val="20"/>
              </w:rPr>
              <w:t xml:space="preserve"> people replied by relating the query to their own symptoms or by providing factual information</w:t>
            </w:r>
            <w:r w:rsidR="004E0E03">
              <w:rPr>
                <w:sz w:val="22"/>
                <w:szCs w:val="20"/>
              </w:rPr>
              <w:t>.</w:t>
            </w:r>
          </w:p>
          <w:p w14:paraId="491587E3" w14:textId="1C74870D" w:rsidR="009E2693" w:rsidRPr="00D8455B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Starting a new family</w:t>
            </w:r>
            <w:r w:rsidR="004E0E03" w:rsidRPr="00B25991">
              <w:rPr>
                <w:sz w:val="22"/>
                <w:szCs w:val="20"/>
              </w:rPr>
              <w:t>:</w:t>
            </w:r>
            <w:r w:rsidR="00B86472" w:rsidRPr="00D8455B">
              <w:rPr>
                <w:sz w:val="22"/>
                <w:szCs w:val="20"/>
              </w:rPr>
              <w:t xml:space="preserve"> starting a family was another reason for considering testing</w:t>
            </w:r>
            <w:r w:rsidR="004E0E03">
              <w:rPr>
                <w:sz w:val="22"/>
                <w:szCs w:val="20"/>
              </w:rPr>
              <w:t>. P</w:t>
            </w:r>
            <w:r w:rsidR="00B86472" w:rsidRPr="00D8455B">
              <w:rPr>
                <w:sz w:val="22"/>
                <w:szCs w:val="20"/>
              </w:rPr>
              <w:t xml:space="preserve">eople </w:t>
            </w:r>
            <w:r w:rsidR="00B25991">
              <w:rPr>
                <w:sz w:val="22"/>
                <w:szCs w:val="20"/>
              </w:rPr>
              <w:t xml:space="preserve">posting to the forum </w:t>
            </w:r>
            <w:r w:rsidR="00B86472" w:rsidRPr="00D8455B">
              <w:rPr>
                <w:sz w:val="22"/>
                <w:szCs w:val="20"/>
              </w:rPr>
              <w:t>described unplanned pregnancies and sought advice</w:t>
            </w:r>
            <w:r w:rsidR="004E0E03">
              <w:rPr>
                <w:sz w:val="22"/>
                <w:szCs w:val="20"/>
              </w:rPr>
              <w:t>;</w:t>
            </w:r>
            <w:r w:rsidR="00B86472" w:rsidRPr="00D8455B">
              <w:rPr>
                <w:sz w:val="22"/>
                <w:szCs w:val="20"/>
              </w:rPr>
              <w:t xml:space="preserve"> replies centred on the options </w:t>
            </w:r>
            <w:r w:rsidR="001A6BE0" w:rsidRPr="00D8455B">
              <w:rPr>
                <w:sz w:val="22"/>
                <w:szCs w:val="20"/>
              </w:rPr>
              <w:t>available</w:t>
            </w:r>
            <w:r w:rsidR="004E0E03">
              <w:rPr>
                <w:sz w:val="22"/>
                <w:szCs w:val="20"/>
              </w:rPr>
              <w:t>. O</w:t>
            </w:r>
            <w:r w:rsidR="001A6BE0" w:rsidRPr="00D8455B">
              <w:rPr>
                <w:sz w:val="22"/>
                <w:szCs w:val="20"/>
              </w:rPr>
              <w:t>ther</w:t>
            </w:r>
            <w:r w:rsidR="00B25991">
              <w:rPr>
                <w:sz w:val="22"/>
                <w:szCs w:val="20"/>
              </w:rPr>
              <w:t xml:space="preserve"> poster</w:t>
            </w:r>
            <w:r w:rsidR="001A6BE0" w:rsidRPr="00D8455B">
              <w:rPr>
                <w:sz w:val="22"/>
                <w:szCs w:val="20"/>
              </w:rPr>
              <w:t>s discussed the dilemmas associated with considering having children; people responded with a range of suggestions including leaving things to chance</w:t>
            </w:r>
            <w:r w:rsidR="004E0E03">
              <w:rPr>
                <w:sz w:val="22"/>
                <w:szCs w:val="20"/>
              </w:rPr>
              <w:t>.</w:t>
            </w:r>
          </w:p>
          <w:p w14:paraId="256E45F7" w14:textId="77777777" w:rsidR="004E0E03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Preparing for the test</w:t>
            </w:r>
            <w:r w:rsidR="001A6BE0" w:rsidRPr="00D8455B">
              <w:rPr>
                <w:sz w:val="22"/>
                <w:szCs w:val="20"/>
              </w:rPr>
              <w:t xml:space="preserve"> (after they had made the decision to be tested people sought information about the test and genetic counselling)</w:t>
            </w:r>
            <w:r w:rsidRPr="00D8455B">
              <w:rPr>
                <w:sz w:val="22"/>
                <w:szCs w:val="20"/>
              </w:rPr>
              <w:t xml:space="preserve"> </w:t>
            </w:r>
            <w:r w:rsidR="004E0E03">
              <w:rPr>
                <w:sz w:val="22"/>
                <w:szCs w:val="20"/>
              </w:rPr>
              <w:t>covered two specific areas:</w:t>
            </w:r>
          </w:p>
          <w:p w14:paraId="5DC8F838" w14:textId="41264E40" w:rsidR="004E0E03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Information seeking</w:t>
            </w:r>
            <w:r w:rsidR="004E0E03">
              <w:rPr>
                <w:sz w:val="22"/>
                <w:szCs w:val="20"/>
              </w:rPr>
              <w:t xml:space="preserve">: </w:t>
            </w:r>
            <w:r w:rsidR="001A6BE0" w:rsidRPr="00D8455B">
              <w:rPr>
                <w:sz w:val="22"/>
                <w:szCs w:val="20"/>
              </w:rPr>
              <w:t xml:space="preserve">people </w:t>
            </w:r>
            <w:r w:rsidR="00B25991">
              <w:rPr>
                <w:sz w:val="22"/>
                <w:szCs w:val="20"/>
              </w:rPr>
              <w:t xml:space="preserve">posting to the forum </w:t>
            </w:r>
            <w:r w:rsidR="001A6BE0" w:rsidRPr="00D8455B">
              <w:rPr>
                <w:sz w:val="22"/>
                <w:szCs w:val="20"/>
              </w:rPr>
              <w:t>sought a range of information and advice</w:t>
            </w:r>
            <w:r w:rsidR="004E0E03">
              <w:rPr>
                <w:sz w:val="22"/>
                <w:szCs w:val="20"/>
              </w:rPr>
              <w:t>;</w:t>
            </w:r>
            <w:r w:rsidR="001A6BE0" w:rsidRPr="00D8455B">
              <w:rPr>
                <w:sz w:val="22"/>
                <w:szCs w:val="20"/>
              </w:rPr>
              <w:t xml:space="preserve"> others replied with </w:t>
            </w:r>
            <w:r w:rsidR="00063593" w:rsidRPr="00D8455B">
              <w:rPr>
                <w:sz w:val="22"/>
                <w:szCs w:val="20"/>
              </w:rPr>
              <w:t xml:space="preserve">supportive </w:t>
            </w:r>
            <w:r w:rsidR="001A6BE0" w:rsidRPr="00D8455B">
              <w:rPr>
                <w:sz w:val="22"/>
                <w:szCs w:val="20"/>
              </w:rPr>
              <w:t>information and advice</w:t>
            </w:r>
            <w:r w:rsidR="004E0E03">
              <w:rPr>
                <w:sz w:val="22"/>
                <w:szCs w:val="20"/>
              </w:rPr>
              <w:t>.</w:t>
            </w:r>
          </w:p>
          <w:p w14:paraId="2AEB771C" w14:textId="0224210A" w:rsidR="009E2693" w:rsidRPr="00D8455B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Attending appointments</w:t>
            </w:r>
            <w:r w:rsidR="004E0E03">
              <w:rPr>
                <w:sz w:val="22"/>
                <w:szCs w:val="20"/>
              </w:rPr>
              <w:t xml:space="preserve">: </w:t>
            </w:r>
            <w:r w:rsidR="001A6BE0" w:rsidRPr="00D8455B">
              <w:rPr>
                <w:sz w:val="22"/>
                <w:szCs w:val="20"/>
              </w:rPr>
              <w:t xml:space="preserve">people </w:t>
            </w:r>
            <w:r w:rsidR="00B25991">
              <w:rPr>
                <w:sz w:val="22"/>
                <w:szCs w:val="20"/>
              </w:rPr>
              <w:t xml:space="preserve">posting to the forum </w:t>
            </w:r>
            <w:r w:rsidR="001A6BE0" w:rsidRPr="00D8455B">
              <w:rPr>
                <w:sz w:val="22"/>
                <w:szCs w:val="20"/>
              </w:rPr>
              <w:t xml:space="preserve">expressed </w:t>
            </w:r>
            <w:r w:rsidR="00063593" w:rsidRPr="00D8455B">
              <w:rPr>
                <w:sz w:val="22"/>
                <w:szCs w:val="20"/>
              </w:rPr>
              <w:t>their feelings about attending their first genetic counselling appointment</w:t>
            </w:r>
            <w:r w:rsidR="004E0E03">
              <w:rPr>
                <w:sz w:val="22"/>
                <w:szCs w:val="20"/>
              </w:rPr>
              <w:t>;</w:t>
            </w:r>
            <w:r w:rsidR="00063593" w:rsidRPr="00D8455B">
              <w:rPr>
                <w:sz w:val="22"/>
                <w:szCs w:val="20"/>
              </w:rPr>
              <w:t xml:space="preserve"> others responded with emotional support and reassurance</w:t>
            </w:r>
            <w:r w:rsidR="004E0E03">
              <w:rPr>
                <w:sz w:val="22"/>
                <w:szCs w:val="20"/>
              </w:rPr>
              <w:t>.</w:t>
            </w:r>
          </w:p>
          <w:p w14:paraId="60E1D646" w14:textId="77777777" w:rsidR="004E0E03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Receiving the results</w:t>
            </w:r>
            <w:r w:rsidR="00063593" w:rsidRPr="00D8455B">
              <w:rPr>
                <w:sz w:val="22"/>
                <w:szCs w:val="20"/>
              </w:rPr>
              <w:t xml:space="preserve"> (people expressed stress and anxiety about waiting for their test results and others responded with emotional support)</w:t>
            </w:r>
            <w:r w:rsidR="004E0E03">
              <w:rPr>
                <w:sz w:val="22"/>
                <w:szCs w:val="20"/>
              </w:rPr>
              <w:t xml:space="preserve"> covered two specific areas:</w:t>
            </w:r>
          </w:p>
          <w:p w14:paraId="53AEFE9C" w14:textId="02F45B0A" w:rsidR="004E0E03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Positive results</w:t>
            </w:r>
            <w:r w:rsidR="004E0E03">
              <w:rPr>
                <w:sz w:val="22"/>
                <w:szCs w:val="20"/>
              </w:rPr>
              <w:t xml:space="preserve">: </w:t>
            </w:r>
            <w:r w:rsidR="00063593" w:rsidRPr="00D8455B">
              <w:rPr>
                <w:sz w:val="22"/>
                <w:szCs w:val="20"/>
              </w:rPr>
              <w:t>people expressed a range of responses to receiving a positive result</w:t>
            </w:r>
            <w:r w:rsidR="004E0E03">
              <w:rPr>
                <w:sz w:val="22"/>
                <w:szCs w:val="20"/>
              </w:rPr>
              <w:t>.</w:t>
            </w:r>
          </w:p>
          <w:p w14:paraId="2BAE0907" w14:textId="28F59C6D" w:rsidR="009E2693" w:rsidRPr="00D8455B" w:rsidRDefault="009E2693" w:rsidP="009E269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Negative results</w:t>
            </w:r>
            <w:r w:rsidR="004E0E03">
              <w:rPr>
                <w:sz w:val="22"/>
                <w:szCs w:val="20"/>
              </w:rPr>
              <w:t xml:space="preserve">: </w:t>
            </w:r>
            <w:r w:rsidR="00063593" w:rsidRPr="00D8455B">
              <w:rPr>
                <w:sz w:val="22"/>
                <w:szCs w:val="20"/>
              </w:rPr>
              <w:t>people had a range of responses to receiving a negative result</w:t>
            </w:r>
            <w:r w:rsidR="004E0E03">
              <w:rPr>
                <w:sz w:val="22"/>
                <w:szCs w:val="20"/>
              </w:rPr>
              <w:t>.</w:t>
            </w:r>
          </w:p>
        </w:tc>
      </w:tr>
    </w:tbl>
    <w:p w14:paraId="2B6E7FB2" w14:textId="492595A6" w:rsidR="00BB290C" w:rsidRPr="00D8455B" w:rsidRDefault="00BB290C">
      <w:pPr>
        <w:rPr>
          <w:sz w:val="22"/>
          <w:szCs w:val="20"/>
        </w:rPr>
      </w:pPr>
    </w:p>
    <w:p w14:paraId="41EACDCF" w14:textId="72199A44" w:rsidR="00BB290C" w:rsidRPr="00D8455B" w:rsidRDefault="001255C0">
      <w:pPr>
        <w:rPr>
          <w:b/>
          <w:bCs/>
          <w:sz w:val="22"/>
          <w:szCs w:val="20"/>
        </w:rPr>
      </w:pPr>
      <w:r w:rsidRPr="00D8455B">
        <w:rPr>
          <w:b/>
          <w:bCs/>
          <w:sz w:val="22"/>
          <w:szCs w:val="20"/>
        </w:rPr>
        <w:t>Exam</w:t>
      </w:r>
      <w:r w:rsidR="009E2693" w:rsidRPr="00D8455B">
        <w:rPr>
          <w:b/>
          <w:bCs/>
          <w:sz w:val="22"/>
          <w:szCs w:val="20"/>
        </w:rPr>
        <w:t>ple 2: A study</w:t>
      </w:r>
      <w:r w:rsidR="00E32F3A" w:rsidRPr="00D8455B">
        <w:rPr>
          <w:b/>
          <w:bCs/>
          <w:sz w:val="22"/>
          <w:szCs w:val="20"/>
        </w:rPr>
        <w:t xml:space="preserve"> exploring gender identity in internet memes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693" w:rsidRPr="00D8455B" w14:paraId="3E903DA9" w14:textId="77777777" w:rsidTr="009E2693">
        <w:tc>
          <w:tcPr>
            <w:tcW w:w="9016" w:type="dxa"/>
          </w:tcPr>
          <w:p w14:paraId="17B72312" w14:textId="77777777" w:rsidR="004E0E03" w:rsidRDefault="001255C0">
            <w:pPr>
              <w:rPr>
                <w:sz w:val="22"/>
                <w:szCs w:val="20"/>
              </w:rPr>
            </w:pPr>
            <w:r w:rsidRPr="00D8455B">
              <w:rPr>
                <w:sz w:val="22"/>
                <w:szCs w:val="20"/>
              </w:rPr>
              <w:t>T</w:t>
            </w:r>
            <w:r w:rsidR="00C025E0" w:rsidRPr="00D8455B">
              <w:rPr>
                <w:sz w:val="22"/>
                <w:szCs w:val="20"/>
              </w:rPr>
              <w:t>he authors (</w:t>
            </w:r>
            <w:proofErr w:type="spellStart"/>
            <w:r w:rsidR="00C025E0" w:rsidRPr="00D8455B">
              <w:rPr>
                <w:sz w:val="22"/>
                <w:szCs w:val="20"/>
              </w:rPr>
              <w:t>Drakett</w:t>
            </w:r>
            <w:proofErr w:type="spellEnd"/>
            <w:r w:rsidR="00C025E0" w:rsidRPr="00D8455B">
              <w:rPr>
                <w:sz w:val="22"/>
                <w:szCs w:val="20"/>
              </w:rPr>
              <w:t xml:space="preserve"> et al., 2018) report t</w:t>
            </w:r>
            <w:r w:rsidRPr="00D8455B">
              <w:rPr>
                <w:sz w:val="22"/>
                <w:szCs w:val="20"/>
              </w:rPr>
              <w:t xml:space="preserve">wo </w:t>
            </w:r>
            <w:r w:rsidRPr="00B25991">
              <w:rPr>
                <w:i/>
                <w:iCs/>
                <w:sz w:val="22"/>
                <w:szCs w:val="20"/>
              </w:rPr>
              <w:t>overarching</w:t>
            </w:r>
            <w:r w:rsidRPr="00D8455B">
              <w:rPr>
                <w:sz w:val="22"/>
                <w:szCs w:val="20"/>
              </w:rPr>
              <w:t xml:space="preserve"> themes – </w:t>
            </w:r>
            <w:r w:rsidRPr="00D8455B">
              <w:rPr>
                <w:b/>
                <w:bCs/>
                <w:sz w:val="22"/>
                <w:szCs w:val="20"/>
              </w:rPr>
              <w:t>Technological privilege</w:t>
            </w:r>
            <w:r w:rsidRPr="00D8455B">
              <w:rPr>
                <w:sz w:val="22"/>
                <w:szCs w:val="20"/>
              </w:rPr>
              <w:t xml:space="preserve"> and </w:t>
            </w:r>
            <w:r w:rsidRPr="00D8455B">
              <w:rPr>
                <w:b/>
                <w:bCs/>
                <w:sz w:val="22"/>
                <w:szCs w:val="20"/>
              </w:rPr>
              <w:t>Others</w:t>
            </w:r>
            <w:r w:rsidR="00C025E0" w:rsidRPr="00D8455B">
              <w:rPr>
                <w:sz w:val="22"/>
                <w:szCs w:val="20"/>
              </w:rPr>
              <w:t xml:space="preserve">. </w:t>
            </w:r>
          </w:p>
          <w:p w14:paraId="36794F16" w14:textId="717EC4A8" w:rsidR="001255C0" w:rsidRPr="00D8455B" w:rsidRDefault="001255C0">
            <w:pPr>
              <w:rPr>
                <w:sz w:val="22"/>
                <w:szCs w:val="20"/>
              </w:rPr>
            </w:pPr>
            <w:r w:rsidRPr="00B25991">
              <w:rPr>
                <w:b/>
                <w:bCs/>
                <w:sz w:val="22"/>
                <w:szCs w:val="20"/>
              </w:rPr>
              <w:t>Technological privilege</w:t>
            </w:r>
            <w:r w:rsidRPr="00D8455B">
              <w:rPr>
                <w:sz w:val="22"/>
                <w:szCs w:val="20"/>
              </w:rPr>
              <w:t xml:space="preserve"> construct</w:t>
            </w:r>
            <w:r w:rsidR="00711253" w:rsidRPr="00D8455B">
              <w:rPr>
                <w:sz w:val="22"/>
                <w:szCs w:val="20"/>
              </w:rPr>
              <w:t>ed</w:t>
            </w:r>
            <w:r w:rsidRPr="00D8455B">
              <w:rPr>
                <w:sz w:val="22"/>
                <w:szCs w:val="20"/>
              </w:rPr>
              <w:t xml:space="preserve"> an elite, technologically </w:t>
            </w:r>
            <w:r w:rsidR="00C025E0" w:rsidRPr="00D8455B">
              <w:rPr>
                <w:sz w:val="22"/>
                <w:szCs w:val="20"/>
              </w:rPr>
              <w:t xml:space="preserve">privileged and </w:t>
            </w:r>
            <w:r w:rsidRPr="00D8455B">
              <w:rPr>
                <w:sz w:val="22"/>
                <w:szCs w:val="20"/>
              </w:rPr>
              <w:t xml:space="preserve">skilled masculinity through three sub-themes: </w:t>
            </w:r>
            <w:r w:rsidRPr="00D8455B">
              <w:rPr>
                <w:i/>
                <w:iCs/>
                <w:sz w:val="22"/>
                <w:szCs w:val="20"/>
              </w:rPr>
              <w:t>Sexy geeks</w:t>
            </w:r>
            <w:r w:rsidRPr="00D8455B">
              <w:rPr>
                <w:sz w:val="22"/>
                <w:szCs w:val="20"/>
              </w:rPr>
              <w:t xml:space="preserve">; </w:t>
            </w:r>
            <w:r w:rsidRPr="00D8455B">
              <w:rPr>
                <w:i/>
                <w:iCs/>
                <w:sz w:val="22"/>
                <w:szCs w:val="20"/>
              </w:rPr>
              <w:t>Internet and technology</w:t>
            </w:r>
            <w:r w:rsidRPr="00D8455B">
              <w:rPr>
                <w:sz w:val="22"/>
                <w:szCs w:val="20"/>
              </w:rPr>
              <w:t xml:space="preserve">; </w:t>
            </w:r>
            <w:r w:rsidR="00C025E0" w:rsidRPr="00D8455B">
              <w:rPr>
                <w:sz w:val="22"/>
                <w:szCs w:val="20"/>
              </w:rPr>
              <w:t xml:space="preserve">and </w:t>
            </w:r>
            <w:r w:rsidRPr="00D8455B">
              <w:rPr>
                <w:i/>
                <w:iCs/>
                <w:sz w:val="22"/>
                <w:szCs w:val="20"/>
              </w:rPr>
              <w:t>Memes about memes</w:t>
            </w:r>
            <w:r w:rsidR="00C025E0" w:rsidRPr="00D8455B">
              <w:rPr>
                <w:sz w:val="22"/>
                <w:szCs w:val="20"/>
              </w:rPr>
              <w:t xml:space="preserve">. </w:t>
            </w:r>
            <w:r w:rsidRPr="00B25991">
              <w:rPr>
                <w:b/>
                <w:bCs/>
                <w:sz w:val="22"/>
                <w:szCs w:val="20"/>
              </w:rPr>
              <w:t>Others</w:t>
            </w:r>
            <w:r w:rsidRPr="00D8455B">
              <w:rPr>
                <w:sz w:val="22"/>
                <w:szCs w:val="20"/>
              </w:rPr>
              <w:t xml:space="preserve"> </w:t>
            </w:r>
            <w:r w:rsidR="004E0E03">
              <w:rPr>
                <w:sz w:val="22"/>
                <w:szCs w:val="20"/>
              </w:rPr>
              <w:t>captured how</w:t>
            </w:r>
            <w:r w:rsidRPr="00D8455B">
              <w:rPr>
                <w:sz w:val="22"/>
                <w:szCs w:val="20"/>
              </w:rPr>
              <w:t xml:space="preserve"> humour is used to construct marginalised groups in particular ways – women are positioned as other, along with members of other marginalised groups, and hegemonic masculinity is reinforced</w:t>
            </w:r>
            <w:r w:rsidR="00C025E0" w:rsidRPr="00D8455B">
              <w:rPr>
                <w:sz w:val="22"/>
                <w:szCs w:val="20"/>
              </w:rPr>
              <w:t>.</w:t>
            </w:r>
          </w:p>
          <w:p w14:paraId="577B5A9F" w14:textId="274B50AD" w:rsidR="004E0E03" w:rsidRDefault="00C025E0">
            <w:pPr>
              <w:rPr>
                <w:sz w:val="22"/>
                <w:szCs w:val="20"/>
              </w:rPr>
            </w:pPr>
            <w:r w:rsidRPr="00D8455B">
              <w:rPr>
                <w:sz w:val="22"/>
                <w:szCs w:val="20"/>
              </w:rPr>
              <w:t xml:space="preserve">The analysis </w:t>
            </w:r>
            <w:r w:rsidR="004E0E03">
              <w:rPr>
                <w:sz w:val="22"/>
                <w:szCs w:val="20"/>
              </w:rPr>
              <w:t>wa</w:t>
            </w:r>
            <w:r w:rsidRPr="00D8455B">
              <w:rPr>
                <w:sz w:val="22"/>
                <w:szCs w:val="20"/>
              </w:rPr>
              <w:t xml:space="preserve">s reported under three </w:t>
            </w:r>
            <w:r w:rsidR="004E0E03">
              <w:rPr>
                <w:sz w:val="22"/>
                <w:szCs w:val="20"/>
              </w:rPr>
              <w:t xml:space="preserve">(theme) </w:t>
            </w:r>
            <w:r w:rsidRPr="00D8455B">
              <w:rPr>
                <w:sz w:val="22"/>
                <w:szCs w:val="20"/>
              </w:rPr>
              <w:t xml:space="preserve">headings: </w:t>
            </w:r>
          </w:p>
          <w:p w14:paraId="53CBE1F3" w14:textId="60834607" w:rsidR="004E0E03" w:rsidRDefault="00C025E0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lastRenderedPageBreak/>
              <w:t>‘Maybe if I poke her with it…’</w:t>
            </w:r>
            <w:r w:rsidR="00711253" w:rsidRPr="00D8455B">
              <w:rPr>
                <w:i/>
                <w:iCs/>
                <w:sz w:val="22"/>
                <w:szCs w:val="20"/>
              </w:rPr>
              <w:t xml:space="preserve"> </w:t>
            </w:r>
            <w:r w:rsidR="00B25991">
              <w:rPr>
                <w:sz w:val="22"/>
                <w:szCs w:val="20"/>
              </w:rPr>
              <w:t>T</w:t>
            </w:r>
            <w:r w:rsidRPr="00D8455B">
              <w:rPr>
                <w:sz w:val="22"/>
                <w:szCs w:val="20"/>
              </w:rPr>
              <w:t>he memes reproduced heteronormative constructions of gender and sexuality through humour – women were presented as sexually ignorant and naïve and men sexually knowing</w:t>
            </w:r>
            <w:r w:rsidR="00711253" w:rsidRPr="00D8455B">
              <w:rPr>
                <w:sz w:val="22"/>
                <w:szCs w:val="20"/>
              </w:rPr>
              <w:t>;</w:t>
            </w:r>
            <w:r w:rsidRPr="00D8455B">
              <w:rPr>
                <w:sz w:val="22"/>
                <w:szCs w:val="20"/>
              </w:rPr>
              <w:t xml:space="preserve"> many of the memes reference</w:t>
            </w:r>
            <w:r w:rsidR="00116839" w:rsidRPr="00D8455B">
              <w:rPr>
                <w:sz w:val="22"/>
                <w:szCs w:val="20"/>
              </w:rPr>
              <w:t>d</w:t>
            </w:r>
            <w:r w:rsidRPr="00D8455B">
              <w:rPr>
                <w:sz w:val="22"/>
                <w:szCs w:val="20"/>
              </w:rPr>
              <w:t xml:space="preserve"> </w:t>
            </w:r>
            <w:r w:rsidR="00116839" w:rsidRPr="00D8455B">
              <w:rPr>
                <w:sz w:val="22"/>
                <w:szCs w:val="20"/>
              </w:rPr>
              <w:t xml:space="preserve">Internet </w:t>
            </w:r>
            <w:r w:rsidRPr="00D8455B">
              <w:rPr>
                <w:sz w:val="22"/>
                <w:szCs w:val="20"/>
              </w:rPr>
              <w:t>pornography and assume</w:t>
            </w:r>
            <w:r w:rsidR="00116839" w:rsidRPr="00D8455B">
              <w:rPr>
                <w:sz w:val="22"/>
                <w:szCs w:val="20"/>
              </w:rPr>
              <w:t>d</w:t>
            </w:r>
            <w:r w:rsidRPr="00D8455B">
              <w:rPr>
                <w:sz w:val="22"/>
                <w:szCs w:val="20"/>
              </w:rPr>
              <w:t xml:space="preserve"> an audience familiar with </w:t>
            </w:r>
            <w:r w:rsidR="00116839" w:rsidRPr="00D8455B">
              <w:rPr>
                <w:sz w:val="22"/>
                <w:szCs w:val="20"/>
              </w:rPr>
              <w:t xml:space="preserve">the conventions of Internet </w:t>
            </w:r>
            <w:r w:rsidRPr="00D8455B">
              <w:rPr>
                <w:sz w:val="22"/>
                <w:szCs w:val="20"/>
              </w:rPr>
              <w:t xml:space="preserve">pornography; </w:t>
            </w:r>
          </w:p>
          <w:p w14:paraId="7A7F163B" w14:textId="6AD567BA" w:rsidR="004E0E03" w:rsidRDefault="00C025E0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‘You say all guys are the same…’</w:t>
            </w:r>
            <w:r w:rsidR="00116839" w:rsidRPr="00D8455B">
              <w:rPr>
                <w:sz w:val="22"/>
                <w:szCs w:val="20"/>
              </w:rPr>
              <w:t xml:space="preserve"> </w:t>
            </w:r>
            <w:r w:rsidR="00B25991">
              <w:rPr>
                <w:sz w:val="22"/>
                <w:szCs w:val="20"/>
              </w:rPr>
              <w:t>T</w:t>
            </w:r>
            <w:r w:rsidR="00116839" w:rsidRPr="00D8455B">
              <w:rPr>
                <w:sz w:val="22"/>
                <w:szCs w:val="20"/>
              </w:rPr>
              <w:t>he memes relied on essentialising and binary discourses of femininity and masculinity, with women positioned as a rational and emotionally liable,</w:t>
            </w:r>
            <w:r w:rsidR="00711253" w:rsidRPr="00D8455B">
              <w:rPr>
                <w:sz w:val="22"/>
                <w:szCs w:val="20"/>
              </w:rPr>
              <w:t xml:space="preserve"> and </w:t>
            </w:r>
            <w:r w:rsidR="00116839" w:rsidRPr="00D8455B">
              <w:rPr>
                <w:sz w:val="22"/>
                <w:szCs w:val="20"/>
              </w:rPr>
              <w:t>men constructed as rational and knowing, and entitled to occupy online spaces</w:t>
            </w:r>
            <w:r w:rsidRPr="00D8455B">
              <w:rPr>
                <w:sz w:val="22"/>
                <w:szCs w:val="20"/>
              </w:rPr>
              <w:t xml:space="preserve">; </w:t>
            </w:r>
          </w:p>
          <w:p w14:paraId="65851C01" w14:textId="51E17DD0" w:rsidR="00C025E0" w:rsidRPr="00D8455B" w:rsidRDefault="00C025E0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‘Get back in the kitchen…’</w:t>
            </w:r>
            <w:r w:rsidR="00116839" w:rsidRPr="00D8455B">
              <w:rPr>
                <w:sz w:val="22"/>
                <w:szCs w:val="20"/>
              </w:rPr>
              <w:t xml:space="preserve"> </w:t>
            </w:r>
            <w:r w:rsidR="00B25991">
              <w:rPr>
                <w:sz w:val="22"/>
                <w:szCs w:val="20"/>
              </w:rPr>
              <w:t>S</w:t>
            </w:r>
            <w:r w:rsidR="00116839" w:rsidRPr="00D8455B">
              <w:rPr>
                <w:sz w:val="22"/>
                <w:szCs w:val="20"/>
              </w:rPr>
              <w:t>ome of the memes reproduced gender dynamics of subordination by locating women in domestic spaces and constructing domestic violence as acceptable</w:t>
            </w:r>
            <w:r w:rsidR="00711253" w:rsidRPr="00D8455B">
              <w:rPr>
                <w:sz w:val="22"/>
                <w:szCs w:val="20"/>
              </w:rPr>
              <w:t>.</w:t>
            </w:r>
          </w:p>
        </w:tc>
      </w:tr>
    </w:tbl>
    <w:p w14:paraId="7F95045A" w14:textId="77777777" w:rsidR="009E2693" w:rsidRPr="00D8455B" w:rsidRDefault="009E2693">
      <w:pPr>
        <w:rPr>
          <w:sz w:val="22"/>
          <w:szCs w:val="20"/>
        </w:rPr>
      </w:pPr>
    </w:p>
    <w:p w14:paraId="6E634FCC" w14:textId="52A4646F" w:rsidR="009E2693" w:rsidRPr="00D8455B" w:rsidRDefault="009E2693" w:rsidP="009E2693">
      <w:pPr>
        <w:rPr>
          <w:b/>
          <w:bCs/>
          <w:sz w:val="22"/>
          <w:szCs w:val="20"/>
        </w:rPr>
      </w:pPr>
      <w:r w:rsidRPr="00D8455B">
        <w:rPr>
          <w:b/>
          <w:bCs/>
          <w:sz w:val="22"/>
          <w:szCs w:val="20"/>
        </w:rPr>
        <w:t>Example 3: A study</w:t>
      </w:r>
      <w:r w:rsidR="00DE0AD3" w:rsidRPr="00D8455B">
        <w:rPr>
          <w:b/>
          <w:bCs/>
          <w:sz w:val="22"/>
          <w:szCs w:val="20"/>
        </w:rPr>
        <w:t xml:space="preserve"> exploring healthcare providers’ views of </w:t>
      </w:r>
      <w:r w:rsidR="004E0E03">
        <w:rPr>
          <w:b/>
          <w:bCs/>
          <w:sz w:val="22"/>
          <w:szCs w:val="20"/>
        </w:rPr>
        <w:t xml:space="preserve">Māori </w:t>
      </w:r>
      <w:r w:rsidR="00DE0AD3" w:rsidRPr="00D8455B">
        <w:rPr>
          <w:b/>
          <w:bCs/>
          <w:sz w:val="22"/>
          <w:szCs w:val="20"/>
        </w:rPr>
        <w:t xml:space="preserve">patients’ uptake of medical advice and </w:t>
      </w:r>
      <w:r w:rsidR="004E0E03">
        <w:rPr>
          <w:b/>
          <w:bCs/>
          <w:sz w:val="22"/>
          <w:szCs w:val="20"/>
        </w:rPr>
        <w:t xml:space="preserve">Māori </w:t>
      </w:r>
      <w:r w:rsidR="00DE0AD3" w:rsidRPr="00D8455B">
        <w:rPr>
          <w:b/>
          <w:bCs/>
          <w:sz w:val="22"/>
          <w:szCs w:val="20"/>
        </w:rPr>
        <w:t>health care users’ experiences of following medical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693" w:rsidRPr="00D8455B" w14:paraId="5F386791" w14:textId="77777777" w:rsidTr="00D90F3B">
        <w:tc>
          <w:tcPr>
            <w:tcW w:w="9016" w:type="dxa"/>
          </w:tcPr>
          <w:p w14:paraId="5A50D62C" w14:textId="653EEAC8" w:rsidR="004E0E03" w:rsidRDefault="00DE0AD3" w:rsidP="00D90F3B">
            <w:pPr>
              <w:rPr>
                <w:sz w:val="22"/>
              </w:rPr>
            </w:pPr>
            <w:r w:rsidRPr="00D8455B">
              <w:rPr>
                <w:sz w:val="22"/>
              </w:rPr>
              <w:t>The authors (Penney et al., 2011) report</w:t>
            </w:r>
            <w:r w:rsidR="00E23191">
              <w:rPr>
                <w:sz w:val="22"/>
              </w:rPr>
              <w:t>ed</w:t>
            </w:r>
            <w:r w:rsidRPr="00D8455B">
              <w:rPr>
                <w:sz w:val="22"/>
              </w:rPr>
              <w:t xml:space="preserve"> on a key theme around treatment compliance for ischaemic heart disease</w:t>
            </w:r>
            <w:r w:rsidR="004E0E03">
              <w:rPr>
                <w:sz w:val="22"/>
              </w:rPr>
              <w:t>. T</w:t>
            </w:r>
            <w:r w:rsidRPr="00D8455B">
              <w:rPr>
                <w:sz w:val="22"/>
              </w:rPr>
              <w:t xml:space="preserve">he analysis </w:t>
            </w:r>
            <w:r w:rsidR="00E23191">
              <w:rPr>
                <w:sz w:val="22"/>
              </w:rPr>
              <w:t>wa</w:t>
            </w:r>
            <w:r w:rsidRPr="00D8455B">
              <w:rPr>
                <w:sz w:val="22"/>
              </w:rPr>
              <w:t>s reported under two headings</w:t>
            </w:r>
            <w:r w:rsidR="00E23191">
              <w:rPr>
                <w:sz w:val="22"/>
              </w:rPr>
              <w:t>.</w:t>
            </w:r>
          </w:p>
          <w:p w14:paraId="18FC3AD9" w14:textId="12DD0DF5" w:rsidR="004E0E03" w:rsidRDefault="00711253" w:rsidP="00D90F3B">
            <w:pPr>
              <w:rPr>
                <w:sz w:val="22"/>
              </w:rPr>
            </w:pPr>
            <w:r w:rsidRPr="00D8455B">
              <w:rPr>
                <w:i/>
                <w:iCs/>
                <w:sz w:val="22"/>
              </w:rPr>
              <w:t>S</w:t>
            </w:r>
            <w:r w:rsidR="00DE0AD3" w:rsidRPr="00D8455B">
              <w:rPr>
                <w:i/>
                <w:iCs/>
                <w:sz w:val="22"/>
              </w:rPr>
              <w:t>ervice provider accounts</w:t>
            </w:r>
            <w:r w:rsidR="004E0E03">
              <w:rPr>
                <w:sz w:val="22"/>
              </w:rPr>
              <w:t>: Māori</w:t>
            </w:r>
            <w:r w:rsidR="00DE0AD3" w:rsidRPr="00D8455B">
              <w:rPr>
                <w:sz w:val="22"/>
              </w:rPr>
              <w:t xml:space="preserve"> patients were seen as non-compliant, particularly compared to the wider population</w:t>
            </w:r>
            <w:r w:rsidR="004034A9">
              <w:rPr>
                <w:sz w:val="22"/>
              </w:rPr>
              <w:t>. T</w:t>
            </w:r>
            <w:r w:rsidR="00DE0AD3" w:rsidRPr="00D8455B">
              <w:rPr>
                <w:sz w:val="22"/>
              </w:rPr>
              <w:t xml:space="preserve">here </w:t>
            </w:r>
            <w:r w:rsidRPr="00D8455B">
              <w:rPr>
                <w:sz w:val="22"/>
              </w:rPr>
              <w:t>w</w:t>
            </w:r>
            <w:r w:rsidR="004034A9">
              <w:rPr>
                <w:sz w:val="22"/>
              </w:rPr>
              <w:t>as</w:t>
            </w:r>
            <w:r w:rsidR="00DE0AD3" w:rsidRPr="00D8455B">
              <w:rPr>
                <w:sz w:val="22"/>
              </w:rPr>
              <w:t xml:space="preserve"> a wide range of explanations for this non-compliance including ignorance, poverty and </w:t>
            </w:r>
            <w:r w:rsidR="004E0E03" w:rsidRPr="00D8455B">
              <w:rPr>
                <w:sz w:val="22"/>
              </w:rPr>
              <w:t>self-destructiveness</w:t>
            </w:r>
            <w:r w:rsidR="004034A9">
              <w:rPr>
                <w:sz w:val="22"/>
              </w:rPr>
              <w:t>. I</w:t>
            </w:r>
            <w:r w:rsidR="00DE0AD3" w:rsidRPr="00D8455B">
              <w:rPr>
                <w:sz w:val="22"/>
              </w:rPr>
              <w:t xml:space="preserve">nstances of </w:t>
            </w:r>
            <w:r w:rsidR="004E0E03">
              <w:rPr>
                <w:sz w:val="22"/>
              </w:rPr>
              <w:t xml:space="preserve">Māori </w:t>
            </w:r>
            <w:r w:rsidR="00DE0AD3" w:rsidRPr="00D8455B">
              <w:rPr>
                <w:sz w:val="22"/>
              </w:rPr>
              <w:t>compliance were attributed to wealth and education, among other things</w:t>
            </w:r>
            <w:r w:rsidR="004034A9">
              <w:rPr>
                <w:sz w:val="22"/>
              </w:rPr>
              <w:t>. T</w:t>
            </w:r>
            <w:r w:rsidR="00DE0AD3" w:rsidRPr="00D8455B">
              <w:rPr>
                <w:sz w:val="22"/>
              </w:rPr>
              <w:t xml:space="preserve">his </w:t>
            </w:r>
            <w:r w:rsidRPr="00D8455B">
              <w:rPr>
                <w:sz w:val="22"/>
              </w:rPr>
              <w:t xml:space="preserve">non-compliant </w:t>
            </w:r>
            <w:r w:rsidR="00DE0AD3" w:rsidRPr="00D8455B">
              <w:rPr>
                <w:sz w:val="22"/>
              </w:rPr>
              <w:t>behaviour was presented as challenging for health professionals trying to do the best for patients</w:t>
            </w:r>
            <w:r w:rsidR="004E0E03">
              <w:rPr>
                <w:sz w:val="22"/>
              </w:rPr>
              <w:t>;</w:t>
            </w:r>
            <w:r w:rsidRPr="00D8455B">
              <w:rPr>
                <w:sz w:val="22"/>
              </w:rPr>
              <w:t xml:space="preserve"> </w:t>
            </w:r>
            <w:r w:rsidR="004E0E03">
              <w:rPr>
                <w:sz w:val="22"/>
              </w:rPr>
              <w:t xml:space="preserve">Māori </w:t>
            </w:r>
            <w:r w:rsidR="00DE0AD3" w:rsidRPr="00D8455B">
              <w:rPr>
                <w:sz w:val="22"/>
              </w:rPr>
              <w:t>patients were presented as having a negative attitude to healthcare</w:t>
            </w:r>
            <w:r w:rsidR="004E0E03">
              <w:rPr>
                <w:sz w:val="22"/>
              </w:rPr>
              <w:t>.</w:t>
            </w:r>
            <w:r w:rsidR="00DE0AD3" w:rsidRPr="00D8455B">
              <w:rPr>
                <w:sz w:val="22"/>
              </w:rPr>
              <w:t xml:space="preserve"> </w:t>
            </w:r>
          </w:p>
          <w:p w14:paraId="72F940D0" w14:textId="06BD79F2" w:rsidR="009E2693" w:rsidRPr="00D8455B" w:rsidRDefault="00DE0AD3" w:rsidP="00D90F3B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</w:rPr>
              <w:t>Maori patient accounts</w:t>
            </w:r>
            <w:r w:rsidR="004E0E03">
              <w:rPr>
                <w:sz w:val="22"/>
              </w:rPr>
              <w:t xml:space="preserve">: </w:t>
            </w:r>
            <w:r w:rsidR="00CD4EA8" w:rsidRPr="00D8455B">
              <w:rPr>
                <w:sz w:val="22"/>
              </w:rPr>
              <w:t xml:space="preserve">the accounts of </w:t>
            </w:r>
            <w:r w:rsidR="00E23191">
              <w:rPr>
                <w:sz w:val="22"/>
              </w:rPr>
              <w:t xml:space="preserve">Māori </w:t>
            </w:r>
            <w:r w:rsidR="00CD4EA8" w:rsidRPr="00D8455B">
              <w:rPr>
                <w:sz w:val="22"/>
              </w:rPr>
              <w:t>patients provided a very different view</w:t>
            </w:r>
            <w:r w:rsidR="00E23191">
              <w:rPr>
                <w:sz w:val="22"/>
              </w:rPr>
              <w:t xml:space="preserve"> to service providers. P</w:t>
            </w:r>
            <w:r w:rsidR="00CD4EA8" w:rsidRPr="00D8455B">
              <w:rPr>
                <w:sz w:val="22"/>
              </w:rPr>
              <w:t xml:space="preserve">atients spoke about the effort they put into complying with treatment </w:t>
            </w:r>
            <w:proofErr w:type="spellStart"/>
            <w:r w:rsidR="00CD4EA8" w:rsidRPr="00D8455B">
              <w:rPr>
                <w:sz w:val="22"/>
              </w:rPr>
              <w:t>regimes</w:t>
            </w:r>
            <w:proofErr w:type="spellEnd"/>
            <w:r w:rsidR="00CD4EA8" w:rsidRPr="00D8455B">
              <w:rPr>
                <w:sz w:val="22"/>
              </w:rPr>
              <w:t xml:space="preserve"> and making lifestyle changes, even though the latter was complex and difficult to navigate</w:t>
            </w:r>
            <w:r w:rsidR="004034A9">
              <w:rPr>
                <w:sz w:val="22"/>
              </w:rPr>
              <w:t>. T</w:t>
            </w:r>
            <w:r w:rsidR="00CD4EA8" w:rsidRPr="00D8455B">
              <w:rPr>
                <w:sz w:val="22"/>
              </w:rPr>
              <w:t>he patients also spoke of numerous barriers to compliance</w:t>
            </w:r>
            <w:r w:rsidR="00E23191">
              <w:rPr>
                <w:sz w:val="22"/>
              </w:rPr>
              <w:t>,</w:t>
            </w:r>
            <w:r w:rsidR="00CD4EA8" w:rsidRPr="00D8455B">
              <w:rPr>
                <w:sz w:val="22"/>
              </w:rPr>
              <w:t xml:space="preserve"> including practical barriers such as a lack of transport, the side effects of medication and patronising treatment by health professionals</w:t>
            </w:r>
            <w:r w:rsidR="00711253" w:rsidRPr="00D8455B">
              <w:rPr>
                <w:sz w:val="22"/>
              </w:rPr>
              <w:t>.</w:t>
            </w:r>
          </w:p>
        </w:tc>
      </w:tr>
    </w:tbl>
    <w:p w14:paraId="11EA1732" w14:textId="77777777" w:rsidR="009E2693" w:rsidRPr="00D8455B" w:rsidRDefault="009E2693" w:rsidP="009E2693">
      <w:pPr>
        <w:rPr>
          <w:b/>
          <w:bCs/>
          <w:sz w:val="22"/>
          <w:szCs w:val="20"/>
        </w:rPr>
      </w:pPr>
    </w:p>
    <w:p w14:paraId="5C8893C2" w14:textId="5E921FAF" w:rsidR="009E2693" w:rsidRPr="00D8455B" w:rsidRDefault="009E2693" w:rsidP="009E2693">
      <w:pPr>
        <w:rPr>
          <w:b/>
          <w:bCs/>
          <w:sz w:val="22"/>
          <w:szCs w:val="20"/>
        </w:rPr>
      </w:pPr>
      <w:r w:rsidRPr="00D8455B">
        <w:rPr>
          <w:b/>
          <w:bCs/>
          <w:sz w:val="22"/>
          <w:szCs w:val="20"/>
        </w:rPr>
        <w:t>Example 4: A study</w:t>
      </w:r>
      <w:r w:rsidR="008F5FED" w:rsidRPr="00D8455B">
        <w:rPr>
          <w:b/>
          <w:bCs/>
          <w:sz w:val="22"/>
          <w:szCs w:val="20"/>
        </w:rPr>
        <w:t xml:space="preserve"> of physical activity in people with Multiple Sclerosis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693" w:rsidRPr="00D8455B" w14:paraId="5B5D5940" w14:textId="77777777" w:rsidTr="00D90F3B">
        <w:tc>
          <w:tcPr>
            <w:tcW w:w="9016" w:type="dxa"/>
          </w:tcPr>
          <w:p w14:paraId="20C28203" w14:textId="385BE05D" w:rsidR="009E2693" w:rsidRPr="00D8455B" w:rsidRDefault="008F5FED" w:rsidP="00D90F3B">
            <w:pPr>
              <w:rPr>
                <w:color w:val="333333"/>
                <w:sz w:val="22"/>
                <w:shd w:val="clear" w:color="auto" w:fill="FFFFFF"/>
              </w:rPr>
            </w:pPr>
            <w:r w:rsidRPr="00D8455B">
              <w:rPr>
                <w:color w:val="333333"/>
                <w:sz w:val="22"/>
                <w:shd w:val="clear" w:color="auto" w:fill="FFFFFF"/>
              </w:rPr>
              <w:t xml:space="preserve">The authors (Hall-McMaster et al., 2016) reported four themes, </w:t>
            </w:r>
            <w:r w:rsidR="00711253" w:rsidRPr="00D8455B">
              <w:rPr>
                <w:color w:val="333333"/>
                <w:sz w:val="22"/>
                <w:shd w:val="clear" w:color="auto" w:fill="FFFFFF"/>
              </w:rPr>
              <w:t xml:space="preserve">the first two </w:t>
            </w:r>
            <w:r w:rsidRPr="00D8455B">
              <w:rPr>
                <w:color w:val="333333"/>
                <w:sz w:val="22"/>
                <w:shd w:val="clear" w:color="auto" w:fill="FFFFFF"/>
              </w:rPr>
              <w:t>each with sub-themes</w:t>
            </w:r>
            <w:r w:rsidR="00E23191">
              <w:rPr>
                <w:color w:val="333333"/>
                <w:sz w:val="22"/>
                <w:shd w:val="clear" w:color="auto" w:fill="FFFFFF"/>
              </w:rPr>
              <w:t>.</w:t>
            </w:r>
            <w:r w:rsidRPr="00D8455B">
              <w:rPr>
                <w:color w:val="333333"/>
                <w:sz w:val="22"/>
                <w:shd w:val="clear" w:color="auto" w:fill="FFFFFF"/>
              </w:rPr>
              <w:t xml:space="preserve"> </w:t>
            </w:r>
          </w:p>
          <w:p w14:paraId="4A299DB9" w14:textId="2DF9080C" w:rsidR="00E23191" w:rsidRDefault="008F5FED" w:rsidP="00D90F3B">
            <w:pPr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Thoughts about purpose</w:t>
            </w:r>
            <w:r w:rsidR="00E23191">
              <w:rPr>
                <w:sz w:val="22"/>
                <w:szCs w:val="20"/>
              </w:rPr>
              <w:t>: P</w:t>
            </w:r>
            <w:r w:rsidR="00D55EA0" w:rsidRPr="00D8455B">
              <w:rPr>
                <w:sz w:val="22"/>
                <w:szCs w:val="20"/>
              </w:rPr>
              <w:t>articipants discussed</w:t>
            </w:r>
            <w:r w:rsidR="004F7CB2" w:rsidRPr="00D8455B">
              <w:rPr>
                <w:sz w:val="22"/>
                <w:szCs w:val="20"/>
              </w:rPr>
              <w:t xml:space="preserve"> the reasons for engaging in physical activity, which </w:t>
            </w:r>
            <w:r w:rsidR="00E23191">
              <w:rPr>
                <w:sz w:val="22"/>
                <w:szCs w:val="20"/>
              </w:rPr>
              <w:t>was</w:t>
            </w:r>
            <w:r w:rsidR="004F7CB2" w:rsidRPr="00D8455B">
              <w:rPr>
                <w:sz w:val="22"/>
                <w:szCs w:val="20"/>
              </w:rPr>
              <w:t xml:space="preserve"> organised into three subthemes</w:t>
            </w:r>
            <w:r w:rsidR="00E23191">
              <w:rPr>
                <w:sz w:val="22"/>
                <w:szCs w:val="20"/>
              </w:rPr>
              <w:t>.</w:t>
            </w:r>
          </w:p>
          <w:p w14:paraId="155E6818" w14:textId="057A6339" w:rsidR="00E23191" w:rsidRDefault="004F7CB2" w:rsidP="00D90F3B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Managing MS</w:t>
            </w:r>
            <w:r w:rsidR="00E23191">
              <w:rPr>
                <w:sz w:val="22"/>
                <w:szCs w:val="20"/>
              </w:rPr>
              <w:t xml:space="preserve">: </w:t>
            </w:r>
            <w:r w:rsidRPr="00D8455B">
              <w:rPr>
                <w:sz w:val="22"/>
                <w:szCs w:val="20"/>
              </w:rPr>
              <w:t xml:space="preserve">participants were motivated to engage in physical activity to prevent loss of function and regain </w:t>
            </w:r>
            <w:r w:rsidR="00ED692B" w:rsidRPr="00D8455B">
              <w:rPr>
                <w:sz w:val="22"/>
                <w:szCs w:val="20"/>
              </w:rPr>
              <w:t xml:space="preserve">their </w:t>
            </w:r>
            <w:r w:rsidRPr="00D8455B">
              <w:rPr>
                <w:sz w:val="22"/>
                <w:szCs w:val="20"/>
              </w:rPr>
              <w:t>form</w:t>
            </w:r>
            <w:r w:rsidR="00ED692B" w:rsidRPr="00D8455B">
              <w:rPr>
                <w:sz w:val="22"/>
                <w:szCs w:val="20"/>
              </w:rPr>
              <w:t>er</w:t>
            </w:r>
            <w:r w:rsidRPr="00D8455B">
              <w:rPr>
                <w:sz w:val="22"/>
                <w:szCs w:val="20"/>
              </w:rPr>
              <w:t xml:space="preserve"> function</w:t>
            </w:r>
            <w:r w:rsidR="00ED692B" w:rsidRPr="00D8455B">
              <w:rPr>
                <w:sz w:val="22"/>
                <w:szCs w:val="20"/>
              </w:rPr>
              <w:t>ality</w:t>
            </w:r>
            <w:r w:rsidR="00E23191">
              <w:rPr>
                <w:sz w:val="22"/>
                <w:szCs w:val="20"/>
              </w:rPr>
              <w:t>.</w:t>
            </w:r>
          </w:p>
          <w:p w14:paraId="6F5A5AE0" w14:textId="3E41BFBC" w:rsidR="00E23191" w:rsidRDefault="008F5FED" w:rsidP="00D90F3B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Being independent</w:t>
            </w:r>
            <w:r w:rsidR="00E23191">
              <w:rPr>
                <w:sz w:val="22"/>
                <w:szCs w:val="20"/>
              </w:rPr>
              <w:t xml:space="preserve">: </w:t>
            </w:r>
            <w:r w:rsidR="004F7CB2" w:rsidRPr="00D8455B">
              <w:rPr>
                <w:sz w:val="22"/>
                <w:szCs w:val="20"/>
              </w:rPr>
              <w:t>for many participants</w:t>
            </w:r>
            <w:r w:rsidR="00E23191">
              <w:rPr>
                <w:sz w:val="22"/>
                <w:szCs w:val="20"/>
              </w:rPr>
              <w:t>,</w:t>
            </w:r>
            <w:r w:rsidR="004F7CB2" w:rsidRPr="00D8455B">
              <w:rPr>
                <w:sz w:val="22"/>
                <w:szCs w:val="20"/>
              </w:rPr>
              <w:t xml:space="preserve"> engaging in physical activity was a way for them to show they could do things for themselves, in a context of increasing physical dependence on others</w:t>
            </w:r>
            <w:r w:rsidR="00E23191">
              <w:rPr>
                <w:sz w:val="22"/>
                <w:szCs w:val="20"/>
              </w:rPr>
              <w:t>.</w:t>
            </w:r>
          </w:p>
          <w:p w14:paraId="64DE3E95" w14:textId="44383902" w:rsidR="008F5FED" w:rsidRPr="00D8455B" w:rsidRDefault="008F5FED" w:rsidP="00D90F3B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Commitment to others</w:t>
            </w:r>
            <w:r w:rsidR="00E23191">
              <w:rPr>
                <w:sz w:val="22"/>
                <w:szCs w:val="20"/>
              </w:rPr>
              <w:t xml:space="preserve">: </w:t>
            </w:r>
            <w:r w:rsidR="004F7CB2" w:rsidRPr="00D8455B">
              <w:rPr>
                <w:sz w:val="22"/>
                <w:szCs w:val="20"/>
              </w:rPr>
              <w:t>for two participants, motivation to be physically active was strengthened by thinking about two groups – their dogs</w:t>
            </w:r>
            <w:r w:rsidR="00E23191">
              <w:rPr>
                <w:sz w:val="22"/>
                <w:szCs w:val="20"/>
              </w:rPr>
              <w:t xml:space="preserve"> (a</w:t>
            </w:r>
            <w:r w:rsidR="004F7CB2" w:rsidRPr="00D8455B">
              <w:rPr>
                <w:sz w:val="22"/>
                <w:szCs w:val="20"/>
              </w:rPr>
              <w:t>nd being responsible dog owners</w:t>
            </w:r>
            <w:r w:rsidR="00E23191">
              <w:rPr>
                <w:sz w:val="22"/>
                <w:szCs w:val="20"/>
              </w:rPr>
              <w:t>)</w:t>
            </w:r>
            <w:r w:rsidR="004F7CB2" w:rsidRPr="00D8455B">
              <w:rPr>
                <w:sz w:val="22"/>
                <w:szCs w:val="20"/>
              </w:rPr>
              <w:t xml:space="preserve"> and the</w:t>
            </w:r>
            <w:r w:rsidR="00ED692B" w:rsidRPr="00D8455B">
              <w:rPr>
                <w:sz w:val="22"/>
                <w:szCs w:val="20"/>
              </w:rPr>
              <w:t>ir</w:t>
            </w:r>
            <w:r w:rsidR="004F7CB2" w:rsidRPr="00D8455B">
              <w:rPr>
                <w:sz w:val="22"/>
                <w:szCs w:val="20"/>
              </w:rPr>
              <w:t xml:space="preserve"> physiotherapists</w:t>
            </w:r>
            <w:r w:rsidR="00E23191">
              <w:rPr>
                <w:sz w:val="22"/>
                <w:szCs w:val="20"/>
              </w:rPr>
              <w:t>.</w:t>
            </w:r>
          </w:p>
          <w:p w14:paraId="28AF27DD" w14:textId="3D877610" w:rsidR="00E23191" w:rsidRDefault="008F5FED" w:rsidP="00D90F3B">
            <w:pPr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Thoughts about self-efficacy</w:t>
            </w:r>
            <w:r w:rsidR="00E23191">
              <w:rPr>
                <w:sz w:val="22"/>
                <w:szCs w:val="20"/>
              </w:rPr>
              <w:t xml:space="preserve">: </w:t>
            </w:r>
            <w:r w:rsidR="004F7CB2" w:rsidRPr="00D8455B">
              <w:rPr>
                <w:sz w:val="22"/>
                <w:szCs w:val="20"/>
              </w:rPr>
              <w:t>participants who were strongly motivated to engage in physical activity believe</w:t>
            </w:r>
            <w:r w:rsidR="00ED692B" w:rsidRPr="00D8455B">
              <w:rPr>
                <w:sz w:val="22"/>
                <w:szCs w:val="20"/>
              </w:rPr>
              <w:t>d</w:t>
            </w:r>
            <w:r w:rsidR="004F7CB2" w:rsidRPr="00D8455B">
              <w:rPr>
                <w:sz w:val="22"/>
                <w:szCs w:val="20"/>
              </w:rPr>
              <w:t xml:space="preserve"> they could achieve their goals</w:t>
            </w:r>
            <w:r w:rsidR="00E23191">
              <w:rPr>
                <w:sz w:val="22"/>
                <w:szCs w:val="20"/>
              </w:rPr>
              <w:t>;</w:t>
            </w:r>
            <w:r w:rsidR="004F7CB2" w:rsidRPr="00D8455B">
              <w:rPr>
                <w:sz w:val="22"/>
                <w:szCs w:val="20"/>
              </w:rPr>
              <w:t xml:space="preserve"> this belief in turn increased their motivation to engage in physical activity</w:t>
            </w:r>
            <w:r w:rsidR="00E23191">
              <w:rPr>
                <w:sz w:val="22"/>
                <w:szCs w:val="20"/>
              </w:rPr>
              <w:t>.</w:t>
            </w:r>
          </w:p>
          <w:p w14:paraId="23C383E4" w14:textId="3688FD17" w:rsidR="00E23191" w:rsidRDefault="008F5FED" w:rsidP="00D90F3B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Developing self-efficacy</w:t>
            </w:r>
            <w:r w:rsidR="00E23191">
              <w:rPr>
                <w:sz w:val="22"/>
                <w:szCs w:val="20"/>
              </w:rPr>
              <w:t xml:space="preserve">: </w:t>
            </w:r>
            <w:r w:rsidR="004F7CB2" w:rsidRPr="00D8455B">
              <w:rPr>
                <w:sz w:val="22"/>
                <w:szCs w:val="20"/>
              </w:rPr>
              <w:t>three participants identified self-efficacy as important for motivation and thought that this could be developed in various ways</w:t>
            </w:r>
            <w:r w:rsidR="00E23191">
              <w:rPr>
                <w:sz w:val="22"/>
                <w:szCs w:val="20"/>
              </w:rPr>
              <w:t>.</w:t>
            </w:r>
            <w:r w:rsidRPr="00D8455B">
              <w:rPr>
                <w:sz w:val="22"/>
                <w:szCs w:val="20"/>
              </w:rPr>
              <w:t xml:space="preserve"> </w:t>
            </w:r>
          </w:p>
          <w:p w14:paraId="1582B851" w14:textId="0FB43277" w:rsidR="008F5FED" w:rsidRPr="00D8455B" w:rsidRDefault="008F5FED" w:rsidP="00D90F3B">
            <w:pPr>
              <w:rPr>
                <w:sz w:val="22"/>
                <w:szCs w:val="20"/>
              </w:rPr>
            </w:pPr>
            <w:r w:rsidRPr="00D8455B">
              <w:rPr>
                <w:i/>
                <w:iCs/>
                <w:sz w:val="22"/>
                <w:szCs w:val="20"/>
              </w:rPr>
              <w:t>Being realistic</w:t>
            </w:r>
            <w:r w:rsidR="00E23191">
              <w:rPr>
                <w:sz w:val="22"/>
                <w:szCs w:val="20"/>
              </w:rPr>
              <w:t>:</w:t>
            </w:r>
            <w:r w:rsidR="00E23191">
              <w:rPr>
                <w:i/>
                <w:iCs/>
                <w:sz w:val="22"/>
                <w:szCs w:val="20"/>
              </w:rPr>
              <w:t xml:space="preserve"> </w:t>
            </w:r>
            <w:r w:rsidR="004F7CB2" w:rsidRPr="00D8455B">
              <w:rPr>
                <w:sz w:val="22"/>
                <w:szCs w:val="20"/>
              </w:rPr>
              <w:t>self-efficacy beliefs were only motivating if they were realistic and focused on what was achievable</w:t>
            </w:r>
            <w:r w:rsidR="00E23191">
              <w:rPr>
                <w:sz w:val="22"/>
                <w:szCs w:val="20"/>
              </w:rPr>
              <w:t>.</w:t>
            </w:r>
          </w:p>
          <w:p w14:paraId="06F33C8B" w14:textId="2DFBF1A3" w:rsidR="008F5FED" w:rsidRPr="00D8455B" w:rsidRDefault="008F5FED" w:rsidP="00D90F3B">
            <w:pPr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Thoughts about the past</w:t>
            </w:r>
            <w:r w:rsidR="00E23191">
              <w:rPr>
                <w:sz w:val="22"/>
                <w:szCs w:val="20"/>
              </w:rPr>
              <w:t xml:space="preserve">: </w:t>
            </w:r>
            <w:r w:rsidR="004F7CB2" w:rsidRPr="00D8455B">
              <w:rPr>
                <w:sz w:val="22"/>
                <w:szCs w:val="20"/>
              </w:rPr>
              <w:t xml:space="preserve">these thoughts could be encouraging </w:t>
            </w:r>
            <w:r w:rsidR="004034A9">
              <w:rPr>
                <w:sz w:val="22"/>
                <w:szCs w:val="20"/>
              </w:rPr>
              <w:t>or de</w:t>
            </w:r>
            <w:r w:rsidR="004F7CB2" w:rsidRPr="00D8455B">
              <w:rPr>
                <w:sz w:val="22"/>
                <w:szCs w:val="20"/>
              </w:rPr>
              <w:t>motivating</w:t>
            </w:r>
            <w:r w:rsidR="00E23191">
              <w:rPr>
                <w:sz w:val="22"/>
                <w:szCs w:val="20"/>
              </w:rPr>
              <w:t>.</w:t>
            </w:r>
          </w:p>
          <w:p w14:paraId="7E9954F6" w14:textId="6977F89E" w:rsidR="008F5FED" w:rsidRPr="00D8455B" w:rsidRDefault="008F5FED" w:rsidP="00D90F3B">
            <w:pPr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lastRenderedPageBreak/>
              <w:t>Reinforcement through positive thinking</w:t>
            </w:r>
            <w:r w:rsidR="00E23191">
              <w:rPr>
                <w:sz w:val="22"/>
                <w:szCs w:val="20"/>
              </w:rPr>
              <w:t xml:space="preserve">: </w:t>
            </w:r>
            <w:r w:rsidR="00711253" w:rsidRPr="00D8455B">
              <w:rPr>
                <w:sz w:val="22"/>
                <w:szCs w:val="20"/>
              </w:rPr>
              <w:t>physical activity generated positive thoughts and feelings</w:t>
            </w:r>
            <w:r w:rsidR="00D55EA0" w:rsidRPr="00D8455B">
              <w:rPr>
                <w:sz w:val="22"/>
                <w:szCs w:val="20"/>
              </w:rPr>
              <w:t>, which enhanced their motivation to continue with physical activity</w:t>
            </w:r>
            <w:r w:rsidR="00E23191">
              <w:rPr>
                <w:sz w:val="22"/>
                <w:szCs w:val="20"/>
              </w:rPr>
              <w:t>.</w:t>
            </w:r>
          </w:p>
        </w:tc>
      </w:tr>
    </w:tbl>
    <w:p w14:paraId="2735DE11" w14:textId="77154EF8" w:rsidR="009E2693" w:rsidRPr="00D8455B" w:rsidRDefault="009E2693" w:rsidP="009E2693">
      <w:pPr>
        <w:rPr>
          <w:sz w:val="22"/>
          <w:szCs w:val="20"/>
        </w:rPr>
      </w:pPr>
    </w:p>
    <w:p w14:paraId="07837908" w14:textId="3A89B1F8" w:rsidR="00196BDA" w:rsidRPr="00D8455B" w:rsidRDefault="00196BDA" w:rsidP="009E2693">
      <w:pPr>
        <w:rPr>
          <w:b/>
          <w:bCs/>
          <w:sz w:val="22"/>
          <w:szCs w:val="20"/>
        </w:rPr>
      </w:pPr>
      <w:r w:rsidRPr="00D8455B">
        <w:rPr>
          <w:b/>
          <w:bCs/>
          <w:sz w:val="22"/>
          <w:szCs w:val="20"/>
        </w:rPr>
        <w:t xml:space="preserve">Example 5: </w:t>
      </w:r>
      <w:r w:rsidR="00E23191">
        <w:rPr>
          <w:b/>
          <w:bCs/>
          <w:sz w:val="22"/>
          <w:szCs w:val="20"/>
        </w:rPr>
        <w:t>A</w:t>
      </w:r>
      <w:r w:rsidRPr="00D8455B">
        <w:rPr>
          <w:b/>
          <w:bCs/>
          <w:sz w:val="22"/>
          <w:szCs w:val="20"/>
        </w:rPr>
        <w:t xml:space="preserve"> study</w:t>
      </w:r>
      <w:r w:rsidR="000D076A" w:rsidRPr="00D8455B">
        <w:rPr>
          <w:b/>
          <w:bCs/>
          <w:sz w:val="22"/>
          <w:szCs w:val="20"/>
        </w:rPr>
        <w:t xml:space="preserve"> exploring men’s emotional experience of infertility through online forums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DA" w:rsidRPr="00D8455B" w14:paraId="70E4E6E7" w14:textId="77777777" w:rsidTr="00196BDA">
        <w:tc>
          <w:tcPr>
            <w:tcW w:w="9016" w:type="dxa"/>
          </w:tcPr>
          <w:p w14:paraId="346B84C8" w14:textId="4F7D5880" w:rsidR="00196BDA" w:rsidRPr="00D8455B" w:rsidRDefault="000D076A" w:rsidP="009E2693">
            <w:pPr>
              <w:rPr>
                <w:sz w:val="22"/>
                <w:szCs w:val="20"/>
              </w:rPr>
            </w:pPr>
            <w:r w:rsidRPr="00D8455B">
              <w:rPr>
                <w:sz w:val="22"/>
                <w:szCs w:val="20"/>
              </w:rPr>
              <w:t>The authors (Hanna &amp; Gough, 2016) reported three themes</w:t>
            </w:r>
            <w:r w:rsidR="00E23191">
              <w:rPr>
                <w:sz w:val="22"/>
                <w:szCs w:val="20"/>
              </w:rPr>
              <w:t>:</w:t>
            </w:r>
          </w:p>
          <w:p w14:paraId="538EE763" w14:textId="00F32CC0" w:rsidR="000D076A" w:rsidRPr="00D8455B" w:rsidRDefault="000D076A" w:rsidP="009E2693">
            <w:pPr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The emotional rollercoaster</w:t>
            </w:r>
            <w:r w:rsidR="00E23191">
              <w:rPr>
                <w:sz w:val="22"/>
                <w:szCs w:val="20"/>
              </w:rPr>
              <w:t>:</w:t>
            </w:r>
            <w:r w:rsidRPr="00D8455B">
              <w:rPr>
                <w:sz w:val="22"/>
                <w:szCs w:val="20"/>
              </w:rPr>
              <w:t xml:space="preserve"> the men often framed their feelings around infertility in terms of peaks and troughs and rapidly changing emotions</w:t>
            </w:r>
            <w:r w:rsidR="00E23191">
              <w:rPr>
                <w:sz w:val="22"/>
                <w:szCs w:val="20"/>
              </w:rPr>
              <w:t>. T</w:t>
            </w:r>
            <w:r w:rsidRPr="00D8455B">
              <w:rPr>
                <w:sz w:val="22"/>
                <w:szCs w:val="20"/>
              </w:rPr>
              <w:t>he ‘emotional rollercoaster’ metaphor enabled men to convey the emotional upheaval of infertility and the impact it has had on their lives</w:t>
            </w:r>
            <w:r w:rsidR="00995EF4" w:rsidRPr="00D8455B">
              <w:rPr>
                <w:sz w:val="22"/>
                <w:szCs w:val="20"/>
              </w:rPr>
              <w:t>.</w:t>
            </w:r>
          </w:p>
          <w:p w14:paraId="193F2AB6" w14:textId="502CFAB0" w:rsidR="000D076A" w:rsidRPr="00D8455B" w:rsidRDefault="000D076A" w:rsidP="009E2693">
            <w:pPr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The tyranny of infertility</w:t>
            </w:r>
            <w:r w:rsidR="00E23191">
              <w:rPr>
                <w:b/>
                <w:bCs/>
                <w:sz w:val="22"/>
                <w:szCs w:val="20"/>
              </w:rPr>
              <w:t xml:space="preserve">: </w:t>
            </w:r>
            <w:r w:rsidRPr="00D8455B">
              <w:rPr>
                <w:sz w:val="22"/>
                <w:szCs w:val="20"/>
              </w:rPr>
              <w:t>the men often portrayed infertility as an overwhelming force that had a far-reaching impact</w:t>
            </w:r>
            <w:r w:rsidR="00995EF4" w:rsidRPr="00D8455B">
              <w:rPr>
                <w:sz w:val="22"/>
                <w:szCs w:val="20"/>
              </w:rPr>
              <w:t xml:space="preserve"> on their sense of self, their relationships and their lives</w:t>
            </w:r>
            <w:r w:rsidR="00E23191">
              <w:rPr>
                <w:sz w:val="22"/>
                <w:szCs w:val="20"/>
              </w:rPr>
              <w:t>. It was framed as</w:t>
            </w:r>
            <w:r w:rsidR="00995EF4" w:rsidRPr="00D8455B">
              <w:rPr>
                <w:sz w:val="22"/>
                <w:szCs w:val="20"/>
              </w:rPr>
              <w:t xml:space="preserve"> a force that they had little control over, which left them feeling powerless and vulnerable, and uncertain as to whether to keep trying with IVF treatment</w:t>
            </w:r>
            <w:r w:rsidR="00E23191">
              <w:rPr>
                <w:sz w:val="22"/>
                <w:szCs w:val="20"/>
              </w:rPr>
              <w:t>. T</w:t>
            </w:r>
            <w:r w:rsidR="00995EF4" w:rsidRPr="00D8455B">
              <w:rPr>
                <w:sz w:val="22"/>
                <w:szCs w:val="20"/>
              </w:rPr>
              <w:t>he men felt isolated and alone, while all around them friends were having children.</w:t>
            </w:r>
          </w:p>
          <w:p w14:paraId="734D2081" w14:textId="73B84F91" w:rsidR="000D076A" w:rsidRPr="00D8455B" w:rsidRDefault="000D076A" w:rsidP="009E2693">
            <w:pPr>
              <w:rPr>
                <w:sz w:val="22"/>
                <w:szCs w:val="20"/>
              </w:rPr>
            </w:pPr>
            <w:r w:rsidRPr="00D8455B">
              <w:rPr>
                <w:b/>
                <w:bCs/>
                <w:sz w:val="22"/>
                <w:szCs w:val="20"/>
              </w:rPr>
              <w:t>Infertility paranoia</w:t>
            </w:r>
            <w:r w:rsidR="00E23191">
              <w:rPr>
                <w:sz w:val="22"/>
                <w:szCs w:val="20"/>
              </w:rPr>
              <w:t xml:space="preserve">: </w:t>
            </w:r>
            <w:r w:rsidR="00995EF4" w:rsidRPr="00D8455B">
              <w:rPr>
                <w:sz w:val="22"/>
                <w:szCs w:val="20"/>
              </w:rPr>
              <w:t>the notion of ‘infertility paranoia’ highlighted the dread and anxiety the men felt</w:t>
            </w:r>
            <w:r w:rsidR="00E23191">
              <w:rPr>
                <w:sz w:val="22"/>
                <w:szCs w:val="20"/>
              </w:rPr>
              <w:t>. T</w:t>
            </w:r>
            <w:r w:rsidR="00995EF4" w:rsidRPr="00D8455B">
              <w:rPr>
                <w:sz w:val="22"/>
                <w:szCs w:val="20"/>
              </w:rPr>
              <w:t>hese strong feelings also created uncertainty about whether to share good news about conception.</w:t>
            </w:r>
          </w:p>
        </w:tc>
      </w:tr>
    </w:tbl>
    <w:p w14:paraId="3FE32D5B" w14:textId="77777777" w:rsidR="00196BDA" w:rsidRPr="00D8455B" w:rsidRDefault="00196BDA" w:rsidP="009E2693">
      <w:pPr>
        <w:rPr>
          <w:sz w:val="22"/>
          <w:szCs w:val="20"/>
        </w:rPr>
      </w:pPr>
    </w:p>
    <w:p w14:paraId="07AA4D64" w14:textId="3CA8085A" w:rsidR="00BB290C" w:rsidRPr="00D8455B" w:rsidRDefault="009E2693" w:rsidP="008F5FED">
      <w:pPr>
        <w:spacing w:line="276" w:lineRule="auto"/>
        <w:rPr>
          <w:b/>
          <w:bCs/>
          <w:sz w:val="22"/>
        </w:rPr>
      </w:pPr>
      <w:r w:rsidRPr="00D8455B">
        <w:rPr>
          <w:b/>
          <w:bCs/>
          <w:sz w:val="22"/>
        </w:rPr>
        <w:t>References</w:t>
      </w:r>
    </w:p>
    <w:p w14:paraId="15554AAD" w14:textId="656C2F1E" w:rsidR="00E32F3A" w:rsidRPr="00D8455B" w:rsidRDefault="00016263" w:rsidP="008F5FED">
      <w:pPr>
        <w:spacing w:line="276" w:lineRule="auto"/>
        <w:rPr>
          <w:sz w:val="22"/>
        </w:rPr>
      </w:pPr>
      <w:hyperlink r:id="rId6" w:history="1">
        <w:proofErr w:type="spellStart"/>
        <w:r w:rsidR="00E32F3A" w:rsidRPr="00016263">
          <w:rPr>
            <w:rStyle w:val="Hyperlink"/>
            <w:sz w:val="22"/>
            <w:shd w:val="clear" w:color="auto" w:fill="FFFFFF"/>
          </w:rPr>
          <w:t>Drakett</w:t>
        </w:r>
        <w:proofErr w:type="spellEnd"/>
        <w:r w:rsidR="00E32F3A" w:rsidRPr="00016263">
          <w:rPr>
            <w:rStyle w:val="Hyperlink"/>
            <w:sz w:val="22"/>
            <w:shd w:val="clear" w:color="auto" w:fill="FFFFFF"/>
          </w:rPr>
          <w:t>, J., Rickett, B., Day, K., &amp; Milnes, K. (2018). Old jokes, new media – Online sexism and constructions of gender in Internet memes.</w:t>
        </w:r>
        <w:r w:rsidR="008F5FED" w:rsidRPr="00016263">
          <w:rPr>
            <w:rStyle w:val="Hyperlink"/>
            <w:sz w:val="22"/>
            <w:shd w:val="clear" w:color="auto" w:fill="FFFFFF"/>
          </w:rPr>
          <w:t xml:space="preserve"> </w:t>
        </w:r>
        <w:r w:rsidR="00E32F3A" w:rsidRPr="00016263">
          <w:rPr>
            <w:rStyle w:val="Hyperlink"/>
            <w:i/>
            <w:iCs/>
            <w:sz w:val="22"/>
            <w:shd w:val="clear" w:color="auto" w:fill="FFFFFF"/>
          </w:rPr>
          <w:t>Feminism &amp; Psychology</w:t>
        </w:r>
        <w:r w:rsidR="00E32F3A" w:rsidRPr="00016263">
          <w:rPr>
            <w:rStyle w:val="Hyperlink"/>
            <w:sz w:val="22"/>
            <w:shd w:val="clear" w:color="auto" w:fill="FFFFFF"/>
          </w:rPr>
          <w:t>,</w:t>
        </w:r>
        <w:r w:rsidR="008F5FED" w:rsidRPr="00016263">
          <w:rPr>
            <w:rStyle w:val="Hyperlink"/>
            <w:sz w:val="22"/>
            <w:shd w:val="clear" w:color="auto" w:fill="FFFFFF"/>
          </w:rPr>
          <w:t xml:space="preserve"> </w:t>
        </w:r>
        <w:r w:rsidR="00E32F3A" w:rsidRPr="00016263">
          <w:rPr>
            <w:rStyle w:val="Hyperlink"/>
            <w:i/>
            <w:iCs/>
            <w:sz w:val="22"/>
            <w:shd w:val="clear" w:color="auto" w:fill="FFFFFF"/>
          </w:rPr>
          <w:t>28</w:t>
        </w:r>
        <w:r w:rsidR="00E32F3A" w:rsidRPr="00016263">
          <w:rPr>
            <w:rStyle w:val="Hyperlink"/>
            <w:sz w:val="22"/>
            <w:shd w:val="clear" w:color="auto" w:fill="FFFFFF"/>
          </w:rPr>
          <w:t>(1), 109–127.</w:t>
        </w:r>
      </w:hyperlink>
      <w:r w:rsidR="00E32F3A" w:rsidRPr="00016263">
        <w:rPr>
          <w:color w:val="333333"/>
          <w:sz w:val="22"/>
          <w:shd w:val="clear" w:color="auto" w:fill="FFFFFF"/>
        </w:rPr>
        <w:t xml:space="preserve"> </w:t>
      </w:r>
    </w:p>
    <w:p w14:paraId="6CE79977" w14:textId="3A0BE00A" w:rsidR="008F5FED" w:rsidRPr="00D8455B" w:rsidRDefault="00016263" w:rsidP="008F5FED">
      <w:pPr>
        <w:spacing w:line="276" w:lineRule="auto"/>
        <w:rPr>
          <w:sz w:val="22"/>
        </w:rPr>
      </w:pPr>
      <w:hyperlink r:id="rId7" w:history="1">
        <w:r w:rsidR="008F5FED" w:rsidRPr="00016263">
          <w:rPr>
            <w:rStyle w:val="Hyperlink"/>
            <w:sz w:val="22"/>
            <w:shd w:val="clear" w:color="auto" w:fill="FFFFFF"/>
          </w:rPr>
          <w:t xml:space="preserve">Hall-McMaster, S. M., Treharne, G. J., &amp; Smith, C. M. (2016). ‘The positive feel’: Unpacking the role of positive thinking in people with multiple sclerosis’s thinking aloud about staying physically active. </w:t>
        </w:r>
        <w:r w:rsidR="008F5FED" w:rsidRPr="00016263">
          <w:rPr>
            <w:rStyle w:val="Hyperlink"/>
            <w:i/>
            <w:iCs/>
            <w:sz w:val="22"/>
            <w:shd w:val="clear" w:color="auto" w:fill="FFFFFF"/>
          </w:rPr>
          <w:t>Journal of Health Psychology</w:t>
        </w:r>
        <w:r w:rsidR="008F5FED" w:rsidRPr="00016263">
          <w:rPr>
            <w:rStyle w:val="Hyperlink"/>
            <w:sz w:val="22"/>
            <w:shd w:val="clear" w:color="auto" w:fill="FFFFFF"/>
          </w:rPr>
          <w:t xml:space="preserve">, </w:t>
        </w:r>
        <w:r w:rsidR="008F5FED" w:rsidRPr="00016263">
          <w:rPr>
            <w:rStyle w:val="Hyperlink"/>
            <w:i/>
            <w:iCs/>
            <w:sz w:val="22"/>
            <w:shd w:val="clear" w:color="auto" w:fill="FFFFFF"/>
          </w:rPr>
          <w:t>21</w:t>
        </w:r>
        <w:r w:rsidR="008F5FED" w:rsidRPr="00016263">
          <w:rPr>
            <w:rStyle w:val="Hyperlink"/>
            <w:sz w:val="22"/>
            <w:shd w:val="clear" w:color="auto" w:fill="FFFFFF"/>
          </w:rPr>
          <w:t>(12), 3026–3036.</w:t>
        </w:r>
      </w:hyperlink>
      <w:r w:rsidR="008F5FED" w:rsidRPr="00016263">
        <w:rPr>
          <w:color w:val="333333"/>
          <w:sz w:val="22"/>
          <w:shd w:val="clear" w:color="auto" w:fill="FFFFFF"/>
        </w:rPr>
        <w:t xml:space="preserve"> </w:t>
      </w:r>
    </w:p>
    <w:p w14:paraId="71CAF42B" w14:textId="1F8F7426" w:rsidR="000D076A" w:rsidRPr="00D8455B" w:rsidRDefault="00016263" w:rsidP="000D076A">
      <w:pPr>
        <w:spacing w:line="276" w:lineRule="auto"/>
        <w:rPr>
          <w:sz w:val="22"/>
        </w:rPr>
      </w:pPr>
      <w:hyperlink r:id="rId8" w:history="1">
        <w:r w:rsidR="000D076A" w:rsidRPr="00016263">
          <w:rPr>
            <w:rStyle w:val="Hyperlink"/>
            <w:sz w:val="22"/>
            <w:shd w:val="clear" w:color="auto" w:fill="FFFFFF"/>
          </w:rPr>
          <w:t xml:space="preserve">Hanna, E., &amp; Gough, B. (2016). Emoting infertility online: A qualitative analysis of men’s forum posts. </w:t>
        </w:r>
        <w:r w:rsidR="000D076A" w:rsidRPr="00016263">
          <w:rPr>
            <w:rStyle w:val="Hyperlink"/>
            <w:i/>
            <w:iCs/>
            <w:sz w:val="22"/>
            <w:shd w:val="clear" w:color="auto" w:fill="FFFFFF"/>
          </w:rPr>
          <w:t>Health</w:t>
        </w:r>
        <w:r w:rsidR="000D076A" w:rsidRPr="00016263">
          <w:rPr>
            <w:rStyle w:val="Hyperlink"/>
            <w:sz w:val="22"/>
            <w:shd w:val="clear" w:color="auto" w:fill="FFFFFF"/>
          </w:rPr>
          <w:t xml:space="preserve">, </w:t>
        </w:r>
        <w:r w:rsidR="000D076A" w:rsidRPr="00016263">
          <w:rPr>
            <w:rStyle w:val="Hyperlink"/>
            <w:i/>
            <w:iCs/>
            <w:sz w:val="22"/>
            <w:shd w:val="clear" w:color="auto" w:fill="FFFFFF"/>
          </w:rPr>
          <w:t>20</w:t>
        </w:r>
        <w:r w:rsidR="000D076A" w:rsidRPr="00016263">
          <w:rPr>
            <w:rStyle w:val="Hyperlink"/>
            <w:sz w:val="22"/>
            <w:shd w:val="clear" w:color="auto" w:fill="FFFFFF"/>
          </w:rPr>
          <w:t>(4), 363-382.</w:t>
        </w:r>
      </w:hyperlink>
      <w:r w:rsidRPr="00D8455B">
        <w:rPr>
          <w:sz w:val="22"/>
        </w:rPr>
        <w:t xml:space="preserve"> </w:t>
      </w:r>
    </w:p>
    <w:p w14:paraId="70222740" w14:textId="2F699055" w:rsidR="007F15B4" w:rsidRPr="00D8455B" w:rsidRDefault="00016263" w:rsidP="008F5FED">
      <w:pPr>
        <w:spacing w:line="276" w:lineRule="auto"/>
        <w:rPr>
          <w:sz w:val="22"/>
        </w:rPr>
      </w:pPr>
      <w:hyperlink r:id="rId9" w:history="1">
        <w:r w:rsidR="007F15B4" w:rsidRPr="00016263">
          <w:rPr>
            <w:rStyle w:val="Hyperlink"/>
            <w:sz w:val="22"/>
            <w:shd w:val="clear" w:color="auto" w:fill="FFFFFF"/>
          </w:rPr>
          <w:t xml:space="preserve">Penney, L., Barnes, H. M., &amp; </w:t>
        </w:r>
        <w:proofErr w:type="spellStart"/>
        <w:r w:rsidR="007F15B4" w:rsidRPr="00016263">
          <w:rPr>
            <w:rStyle w:val="Hyperlink"/>
            <w:sz w:val="22"/>
            <w:shd w:val="clear" w:color="auto" w:fill="FFFFFF"/>
          </w:rPr>
          <w:t>Mccreanor</w:t>
        </w:r>
        <w:proofErr w:type="spellEnd"/>
        <w:r w:rsidR="007F15B4" w:rsidRPr="00016263">
          <w:rPr>
            <w:rStyle w:val="Hyperlink"/>
            <w:sz w:val="22"/>
            <w:shd w:val="clear" w:color="auto" w:fill="FFFFFF"/>
          </w:rPr>
          <w:t xml:space="preserve">, T. (2011). The </w:t>
        </w:r>
        <w:r w:rsidR="004034A9" w:rsidRPr="00016263">
          <w:rPr>
            <w:rStyle w:val="Hyperlink"/>
            <w:sz w:val="22"/>
            <w:shd w:val="clear" w:color="auto" w:fill="FFFFFF"/>
          </w:rPr>
          <w:t>b</w:t>
        </w:r>
        <w:r w:rsidR="007F15B4" w:rsidRPr="00016263">
          <w:rPr>
            <w:rStyle w:val="Hyperlink"/>
            <w:sz w:val="22"/>
            <w:shd w:val="clear" w:color="auto" w:fill="FFFFFF"/>
          </w:rPr>
          <w:t xml:space="preserve">lame </w:t>
        </w:r>
        <w:r w:rsidR="004034A9" w:rsidRPr="00016263">
          <w:rPr>
            <w:rStyle w:val="Hyperlink"/>
            <w:sz w:val="22"/>
            <w:shd w:val="clear" w:color="auto" w:fill="FFFFFF"/>
          </w:rPr>
          <w:t>g</w:t>
        </w:r>
        <w:r w:rsidR="007F15B4" w:rsidRPr="00016263">
          <w:rPr>
            <w:rStyle w:val="Hyperlink"/>
            <w:sz w:val="22"/>
            <w:shd w:val="clear" w:color="auto" w:fill="FFFFFF"/>
          </w:rPr>
          <w:t>ame: Constructions of Māori medical compliance.</w:t>
        </w:r>
        <w:r w:rsidR="008F5FED" w:rsidRPr="00016263">
          <w:rPr>
            <w:rStyle w:val="Hyperlink"/>
            <w:sz w:val="22"/>
            <w:shd w:val="clear" w:color="auto" w:fill="FFFFFF"/>
          </w:rPr>
          <w:t xml:space="preserve"> </w:t>
        </w:r>
        <w:proofErr w:type="spellStart"/>
        <w:r w:rsidR="007F15B4" w:rsidRPr="00016263">
          <w:rPr>
            <w:rStyle w:val="Hyperlink"/>
            <w:i/>
            <w:iCs/>
            <w:sz w:val="22"/>
            <w:shd w:val="clear" w:color="auto" w:fill="FFFFFF"/>
          </w:rPr>
          <w:t>AlterNative</w:t>
        </w:r>
        <w:proofErr w:type="spellEnd"/>
        <w:r w:rsidR="007F15B4" w:rsidRPr="00016263">
          <w:rPr>
            <w:rStyle w:val="Hyperlink"/>
            <w:i/>
            <w:iCs/>
            <w:sz w:val="22"/>
            <w:shd w:val="clear" w:color="auto" w:fill="FFFFFF"/>
          </w:rPr>
          <w:t>: An International Journal of Indigenous Peoples</w:t>
        </w:r>
        <w:r w:rsidR="007F15B4" w:rsidRPr="00016263">
          <w:rPr>
            <w:rStyle w:val="Hyperlink"/>
            <w:sz w:val="22"/>
            <w:shd w:val="clear" w:color="auto" w:fill="FFFFFF"/>
          </w:rPr>
          <w:t>,</w:t>
        </w:r>
        <w:r w:rsidR="008F5FED" w:rsidRPr="00016263">
          <w:rPr>
            <w:rStyle w:val="Hyperlink"/>
            <w:sz w:val="22"/>
            <w:shd w:val="clear" w:color="auto" w:fill="FFFFFF"/>
          </w:rPr>
          <w:t xml:space="preserve"> </w:t>
        </w:r>
        <w:r w:rsidR="007F15B4" w:rsidRPr="00016263">
          <w:rPr>
            <w:rStyle w:val="Hyperlink"/>
            <w:i/>
            <w:iCs/>
            <w:sz w:val="22"/>
            <w:shd w:val="clear" w:color="auto" w:fill="FFFFFF"/>
          </w:rPr>
          <w:t>7</w:t>
        </w:r>
        <w:r w:rsidR="007F15B4" w:rsidRPr="00016263">
          <w:rPr>
            <w:rStyle w:val="Hyperlink"/>
            <w:sz w:val="22"/>
            <w:shd w:val="clear" w:color="auto" w:fill="FFFFFF"/>
          </w:rPr>
          <w:t>(2), 73–86.</w:t>
        </w:r>
      </w:hyperlink>
      <w:r w:rsidR="007F15B4" w:rsidRPr="00016263">
        <w:rPr>
          <w:color w:val="333333"/>
          <w:sz w:val="22"/>
          <w:shd w:val="clear" w:color="auto" w:fill="FFFFFF"/>
        </w:rPr>
        <w:t xml:space="preserve"> </w:t>
      </w:r>
    </w:p>
    <w:p w14:paraId="17FFBD97" w14:textId="07428D88" w:rsidR="009E2693" w:rsidRPr="00D8455B" w:rsidRDefault="00016263" w:rsidP="008F5FED">
      <w:pPr>
        <w:spacing w:line="276" w:lineRule="auto"/>
        <w:rPr>
          <w:sz w:val="22"/>
        </w:rPr>
      </w:pPr>
      <w:hyperlink r:id="rId10" w:history="1">
        <w:r w:rsidR="009E2693" w:rsidRPr="00016263">
          <w:rPr>
            <w:rStyle w:val="Hyperlink"/>
            <w:sz w:val="22"/>
            <w:shd w:val="clear" w:color="auto" w:fill="FFFFFF"/>
          </w:rPr>
          <w:t>Smedley, R. M., &amp; Coulson, N. S. (2019). Genetic testing for Huntington’s disease: A thematic analysis of online support community messages.</w:t>
        </w:r>
        <w:r w:rsidR="008F5FED" w:rsidRPr="00016263">
          <w:rPr>
            <w:rStyle w:val="Hyperlink"/>
            <w:sz w:val="22"/>
            <w:shd w:val="clear" w:color="auto" w:fill="FFFFFF"/>
          </w:rPr>
          <w:t xml:space="preserve"> </w:t>
        </w:r>
        <w:r w:rsidR="009E2693" w:rsidRPr="00016263">
          <w:rPr>
            <w:rStyle w:val="Hyperlink"/>
            <w:i/>
            <w:iCs/>
            <w:sz w:val="22"/>
            <w:shd w:val="clear" w:color="auto" w:fill="FFFFFF"/>
          </w:rPr>
          <w:t>Journal of Health Psychology</w:t>
        </w:r>
        <w:r w:rsidR="009E2693" w:rsidRPr="00016263">
          <w:rPr>
            <w:rStyle w:val="Hyperlink"/>
            <w:sz w:val="22"/>
            <w:shd w:val="clear" w:color="auto" w:fill="FFFFFF"/>
          </w:rPr>
          <w:t>.</w:t>
        </w:r>
      </w:hyperlink>
      <w:r w:rsidR="008F5FED" w:rsidRPr="00016263">
        <w:rPr>
          <w:color w:val="333333"/>
          <w:sz w:val="22"/>
          <w:shd w:val="clear" w:color="auto" w:fill="FFFFFF"/>
        </w:rPr>
        <w:t xml:space="preserve"> </w:t>
      </w:r>
    </w:p>
    <w:p w14:paraId="42875B39" w14:textId="77777777" w:rsidR="00BB290C" w:rsidRPr="00D8455B" w:rsidRDefault="00BB290C" w:rsidP="008F5FED">
      <w:pPr>
        <w:spacing w:line="276" w:lineRule="auto"/>
        <w:rPr>
          <w:sz w:val="22"/>
        </w:rPr>
      </w:pPr>
    </w:p>
    <w:p w14:paraId="4F39E2ED" w14:textId="77777777" w:rsidR="00D8455B" w:rsidRPr="00D8455B" w:rsidRDefault="00D8455B">
      <w:pPr>
        <w:spacing w:line="276" w:lineRule="auto"/>
        <w:rPr>
          <w:sz w:val="22"/>
        </w:rPr>
      </w:pPr>
    </w:p>
    <w:sectPr w:rsidR="00D8455B" w:rsidRPr="00D8455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ED26" w14:textId="77777777" w:rsidR="001F4EAB" w:rsidRDefault="001F4EAB" w:rsidP="00D8455B">
      <w:pPr>
        <w:spacing w:after="0" w:line="240" w:lineRule="auto"/>
      </w:pPr>
      <w:r>
        <w:separator/>
      </w:r>
    </w:p>
  </w:endnote>
  <w:endnote w:type="continuationSeparator" w:id="0">
    <w:p w14:paraId="78686519" w14:textId="77777777" w:rsidR="001F4EAB" w:rsidRDefault="001F4EAB" w:rsidP="00D8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3DDB" w14:textId="77777777" w:rsidR="001F4EAB" w:rsidRDefault="001F4EAB" w:rsidP="00D8455B">
      <w:pPr>
        <w:spacing w:after="0" w:line="240" w:lineRule="auto"/>
      </w:pPr>
      <w:r>
        <w:separator/>
      </w:r>
    </w:p>
  </w:footnote>
  <w:footnote w:type="continuationSeparator" w:id="0">
    <w:p w14:paraId="1578F75C" w14:textId="77777777" w:rsidR="001F4EAB" w:rsidRDefault="001F4EAB" w:rsidP="00D8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2130" w14:textId="16F4FA7A" w:rsidR="00D8455B" w:rsidRPr="00D8455B" w:rsidRDefault="00D8455B" w:rsidP="00D8455B">
    <w:pPr>
      <w:pStyle w:val="Header"/>
      <w:jc w:val="right"/>
      <w:rPr>
        <w:i/>
        <w:iCs/>
        <w:sz w:val="20"/>
        <w:szCs w:val="20"/>
      </w:rPr>
    </w:pPr>
    <w:r w:rsidRPr="00084EB6">
      <w:rPr>
        <w:i/>
        <w:iCs/>
        <w:sz w:val="20"/>
        <w:szCs w:val="20"/>
      </w:rPr>
      <w:t xml:space="preserve">Braun &amp; Clarke Thematic Analysis: A Practical Guide Companion Website, p. </w:t>
    </w:r>
    <w:r w:rsidRPr="00084EB6">
      <w:rPr>
        <w:i/>
        <w:iCs/>
        <w:sz w:val="20"/>
        <w:szCs w:val="20"/>
      </w:rPr>
      <w:fldChar w:fldCharType="begin"/>
    </w:r>
    <w:r w:rsidRPr="00084EB6">
      <w:rPr>
        <w:i/>
        <w:iCs/>
        <w:sz w:val="20"/>
        <w:szCs w:val="20"/>
      </w:rPr>
      <w:instrText xml:space="preserve"> PAGE   \* MERGEFORMAT </w:instrText>
    </w:r>
    <w:r w:rsidRPr="00084EB6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084EB6">
      <w:rPr>
        <w:i/>
        <w:iCs/>
        <w:noProof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26428F6-412D-459A-9F8C-EC0A670167FD}"/>
    <w:docVar w:name="dgnword-eventsink" w:val="267793152"/>
  </w:docVars>
  <w:rsids>
    <w:rsidRoot w:val="00D10BF0"/>
    <w:rsid w:val="00016263"/>
    <w:rsid w:val="00063593"/>
    <w:rsid w:val="000A6D5F"/>
    <w:rsid w:val="000D076A"/>
    <w:rsid w:val="00116839"/>
    <w:rsid w:val="00116FE5"/>
    <w:rsid w:val="001255C0"/>
    <w:rsid w:val="00196BDA"/>
    <w:rsid w:val="001A6BE0"/>
    <w:rsid w:val="001F4EAB"/>
    <w:rsid w:val="002C1B6D"/>
    <w:rsid w:val="004034A9"/>
    <w:rsid w:val="004E0E03"/>
    <w:rsid w:val="004F7CB2"/>
    <w:rsid w:val="005E72F4"/>
    <w:rsid w:val="00616BB9"/>
    <w:rsid w:val="006813A1"/>
    <w:rsid w:val="00711253"/>
    <w:rsid w:val="007F15B4"/>
    <w:rsid w:val="008B5614"/>
    <w:rsid w:val="008F5FED"/>
    <w:rsid w:val="00995EF4"/>
    <w:rsid w:val="009E2693"/>
    <w:rsid w:val="00B25991"/>
    <w:rsid w:val="00B86472"/>
    <w:rsid w:val="00BB290C"/>
    <w:rsid w:val="00C025E0"/>
    <w:rsid w:val="00CD4EA8"/>
    <w:rsid w:val="00D10BF0"/>
    <w:rsid w:val="00D55EA0"/>
    <w:rsid w:val="00D648BE"/>
    <w:rsid w:val="00D8455B"/>
    <w:rsid w:val="00DE0AD3"/>
    <w:rsid w:val="00E23191"/>
    <w:rsid w:val="00E32F3A"/>
    <w:rsid w:val="00ED692B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1514"/>
  <w15:chartTrackingRefBased/>
  <w15:docId w15:val="{CF37E4BC-B8EC-49DC-A841-FC91562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6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5B"/>
  </w:style>
  <w:style w:type="paragraph" w:styleId="Footer">
    <w:name w:val="footer"/>
    <w:basedOn w:val="Normal"/>
    <w:link w:val="FooterChar"/>
    <w:uiPriority w:val="99"/>
    <w:unhideWhenUsed/>
    <w:rsid w:val="00D84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5B"/>
  </w:style>
  <w:style w:type="paragraph" w:styleId="BalloonText">
    <w:name w:val="Balloon Text"/>
    <w:basedOn w:val="Normal"/>
    <w:link w:val="BalloonTextChar"/>
    <w:uiPriority w:val="99"/>
    <w:semiHidden/>
    <w:unhideWhenUsed/>
    <w:rsid w:val="004E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3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1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34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stoken/rbtfl/7URNEQQG5LQLD5IM5IEX/pdf/10.1177/13634593166497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urnals.sagepub.com/stoken/rbtfl/BS6RIM793JC08NOKTOOLNDH/pdf/10.1177/13591053155920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sagepub.com/stoken/rbtfl/RU11J0XC9UKT41LVKUVMOI/pdf/10.1177/095935351772756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journals.sagepub.com/stoken/rbtfl/95L12GFLACAC42SEBVZYB7/pdf/10.1177/13591053198263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urnals.sagepub.com/stoken/rbtfl/1FXQM9K6TA3SOWRQAWNWF/pdf/10.1177/11771801110070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AnonTW</dc:creator>
  <cp:keywords/>
  <dc:description/>
  <cp:lastModifiedBy>Katherine Payne</cp:lastModifiedBy>
  <cp:revision>4</cp:revision>
  <dcterms:created xsi:type="dcterms:W3CDTF">2021-04-26T04:38:00Z</dcterms:created>
  <dcterms:modified xsi:type="dcterms:W3CDTF">2021-06-17T12:43:00Z</dcterms:modified>
</cp:coreProperties>
</file>