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819D3" w14:textId="6ADD7CA0" w:rsidR="00800802" w:rsidRPr="00774DAF" w:rsidRDefault="00770A86" w:rsidP="00800802">
      <w:pPr>
        <w:jc w:val="center"/>
        <w:rPr>
          <w:rFonts w:cstheme="minorHAnsi"/>
          <w:b/>
          <w:sz w:val="24"/>
          <w:szCs w:val="24"/>
        </w:rPr>
      </w:pPr>
      <w:r w:rsidRPr="00774DAF">
        <w:rPr>
          <w:rFonts w:cstheme="minorHAnsi"/>
          <w:b/>
          <w:sz w:val="24"/>
          <w:szCs w:val="24"/>
        </w:rPr>
        <w:t>Exercise 13.1 Discussion – Identifying Types of Quantitative D</w:t>
      </w:r>
      <w:r w:rsidR="00E61BC4" w:rsidRPr="00774DAF">
        <w:rPr>
          <w:rFonts w:cstheme="minorHAnsi"/>
          <w:b/>
          <w:sz w:val="24"/>
          <w:szCs w:val="24"/>
        </w:rPr>
        <w:t>ata</w:t>
      </w:r>
      <w:r w:rsidR="00E61BC4" w:rsidRPr="00774DAF" w:rsidDel="00E61BC4">
        <w:rPr>
          <w:rFonts w:cstheme="minorHAnsi"/>
          <w:b/>
          <w:sz w:val="24"/>
          <w:szCs w:val="24"/>
        </w:rPr>
        <w:t xml:space="preserve"> </w:t>
      </w:r>
    </w:p>
    <w:p w14:paraId="5473798F" w14:textId="77777777" w:rsidR="00800802" w:rsidRPr="00435EC2" w:rsidRDefault="00800802" w:rsidP="00800802">
      <w:pPr>
        <w:rPr>
          <w:rFonts w:cstheme="minorHAnsi"/>
          <w:sz w:val="24"/>
          <w:szCs w:val="24"/>
        </w:rPr>
      </w:pPr>
    </w:p>
    <w:p w14:paraId="6D0B4ED8" w14:textId="39AEED23" w:rsidR="00800802" w:rsidRPr="00435EC2" w:rsidRDefault="00800802" w:rsidP="00800802">
      <w:pPr>
        <w:rPr>
          <w:rFonts w:cstheme="minorHAnsi"/>
          <w:sz w:val="24"/>
          <w:szCs w:val="24"/>
        </w:rPr>
      </w:pPr>
      <w:r w:rsidRPr="00435EC2">
        <w:rPr>
          <w:rFonts w:cstheme="minorHAnsi"/>
          <w:sz w:val="24"/>
          <w:szCs w:val="24"/>
        </w:rPr>
        <w:t xml:space="preserve">These are linked to </w:t>
      </w:r>
      <w:r w:rsidR="00814F09" w:rsidRPr="00435EC2">
        <w:rPr>
          <w:rFonts w:cstheme="minorHAnsi"/>
          <w:sz w:val="24"/>
          <w:szCs w:val="24"/>
        </w:rPr>
        <w:t>E</w:t>
      </w:r>
      <w:r w:rsidRPr="00435EC2">
        <w:rPr>
          <w:rFonts w:cstheme="minorHAnsi"/>
          <w:sz w:val="24"/>
          <w:szCs w:val="24"/>
        </w:rPr>
        <w:t>xercise in Chapter 1</w:t>
      </w:r>
      <w:r w:rsidR="00D23686" w:rsidRPr="00435EC2">
        <w:rPr>
          <w:rFonts w:cstheme="minorHAnsi"/>
          <w:sz w:val="24"/>
          <w:szCs w:val="24"/>
        </w:rPr>
        <w:t>3</w:t>
      </w:r>
      <w:r w:rsidR="00814F09" w:rsidRPr="00435EC2">
        <w:rPr>
          <w:rFonts w:cstheme="minorHAnsi"/>
          <w:sz w:val="24"/>
          <w:szCs w:val="24"/>
        </w:rPr>
        <w:t>.1</w:t>
      </w:r>
      <w:r w:rsidRPr="00435EC2">
        <w:rPr>
          <w:rFonts w:cstheme="minorHAnsi"/>
          <w:sz w:val="24"/>
          <w:szCs w:val="24"/>
        </w:rPr>
        <w:t xml:space="preserve"> of the book by Opie an</w:t>
      </w:r>
      <w:bookmarkStart w:id="0" w:name="_GoBack"/>
      <w:bookmarkEnd w:id="0"/>
      <w:r w:rsidRPr="00435EC2">
        <w:rPr>
          <w:rFonts w:cstheme="minorHAnsi"/>
          <w:sz w:val="24"/>
          <w:szCs w:val="24"/>
        </w:rPr>
        <w:t>d Brown (201</w:t>
      </w:r>
      <w:r w:rsidR="00D23686" w:rsidRPr="00435EC2">
        <w:rPr>
          <w:rFonts w:cstheme="minorHAnsi"/>
          <w:sz w:val="24"/>
          <w:szCs w:val="24"/>
        </w:rPr>
        <w:t>9</w:t>
      </w:r>
      <w:r w:rsidRPr="00435EC2">
        <w:rPr>
          <w:rFonts w:cstheme="minorHAnsi"/>
          <w:sz w:val="24"/>
          <w:szCs w:val="24"/>
        </w:rPr>
        <w:t>).</w:t>
      </w:r>
    </w:p>
    <w:p w14:paraId="65DCA3E3" w14:textId="77777777" w:rsidR="00800802" w:rsidRPr="00435EC2" w:rsidRDefault="00800802" w:rsidP="00800802">
      <w:pPr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558"/>
        <w:gridCol w:w="5789"/>
      </w:tblGrid>
      <w:tr w:rsidR="00800802" w:rsidRPr="00435EC2" w14:paraId="5844E0BE" w14:textId="77777777" w:rsidTr="00814F09">
        <w:trPr>
          <w:jc w:val="center"/>
        </w:trPr>
        <w:tc>
          <w:tcPr>
            <w:tcW w:w="1137" w:type="dxa"/>
          </w:tcPr>
          <w:p w14:paraId="5C881933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</w:rPr>
            </w:pPr>
            <w:r w:rsidRPr="00435EC2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1558" w:type="dxa"/>
          </w:tcPr>
          <w:p w14:paraId="6C3B9C48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</w:rPr>
            </w:pPr>
            <w:r w:rsidRPr="00435EC2">
              <w:rPr>
                <w:rFonts w:asciiTheme="minorHAnsi" w:hAnsiTheme="minorHAnsi" w:cstheme="minorHAnsi"/>
              </w:rPr>
              <w:t>Type of data</w:t>
            </w:r>
          </w:p>
        </w:tc>
        <w:tc>
          <w:tcPr>
            <w:tcW w:w="5789" w:type="dxa"/>
          </w:tcPr>
          <w:p w14:paraId="45E75F6E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</w:rPr>
            </w:pPr>
            <w:r w:rsidRPr="00435EC2">
              <w:rPr>
                <w:rFonts w:asciiTheme="minorHAnsi" w:hAnsiTheme="minorHAnsi" w:cstheme="minorHAnsi"/>
              </w:rPr>
              <w:t>Why</w:t>
            </w:r>
          </w:p>
        </w:tc>
      </w:tr>
      <w:tr w:rsidR="00800802" w:rsidRPr="00435EC2" w14:paraId="5A7CF62C" w14:textId="77777777" w:rsidTr="002B469D">
        <w:trPr>
          <w:jc w:val="center"/>
        </w:trPr>
        <w:tc>
          <w:tcPr>
            <w:tcW w:w="1137" w:type="dxa"/>
            <w:vAlign w:val="center"/>
          </w:tcPr>
          <w:p w14:paraId="656EB46F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1558" w:type="dxa"/>
            <w:vAlign w:val="center"/>
          </w:tcPr>
          <w:p w14:paraId="630CF73D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Interval/ratio</w:t>
            </w:r>
          </w:p>
        </w:tc>
        <w:tc>
          <w:tcPr>
            <w:tcW w:w="5789" w:type="dxa"/>
            <w:vAlign w:val="center"/>
          </w:tcPr>
          <w:p w14:paraId="0375D51A" w14:textId="77777777" w:rsidR="00800802" w:rsidRPr="00435EC2" w:rsidRDefault="00800802" w:rsidP="003E4FF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35EC2">
              <w:rPr>
                <w:rFonts w:cstheme="minorHAnsi"/>
                <w:sz w:val="24"/>
                <w:szCs w:val="24"/>
                <w:lang w:val="en-US"/>
              </w:rPr>
              <w:t>You can calculate other meaningful values from this data.</w:t>
            </w:r>
          </w:p>
        </w:tc>
      </w:tr>
      <w:tr w:rsidR="00800802" w:rsidRPr="00435EC2" w14:paraId="51003BEB" w14:textId="77777777" w:rsidTr="002B469D">
        <w:trPr>
          <w:jc w:val="center"/>
        </w:trPr>
        <w:tc>
          <w:tcPr>
            <w:tcW w:w="1137" w:type="dxa"/>
            <w:vAlign w:val="center"/>
          </w:tcPr>
          <w:p w14:paraId="06FCEAE0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tcW w:w="1558" w:type="dxa"/>
            <w:vAlign w:val="center"/>
          </w:tcPr>
          <w:p w14:paraId="2FCB54A4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Nominal</w:t>
            </w:r>
          </w:p>
        </w:tc>
        <w:tc>
          <w:tcPr>
            <w:tcW w:w="5789" w:type="dxa"/>
            <w:vAlign w:val="center"/>
          </w:tcPr>
          <w:p w14:paraId="267AD313" w14:textId="2835856C" w:rsidR="00800802" w:rsidRPr="00435EC2" w:rsidRDefault="00800802" w:rsidP="00F636C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35EC2">
              <w:rPr>
                <w:rFonts w:cstheme="minorHAnsi"/>
                <w:sz w:val="24"/>
                <w:szCs w:val="24"/>
                <w:lang w:val="en-US"/>
              </w:rPr>
              <w:t>This provides no more than a list of species</w:t>
            </w:r>
            <w:r w:rsidR="00814F09" w:rsidRPr="00435EC2">
              <w:rPr>
                <w:rFonts w:cstheme="minorHAnsi"/>
                <w:sz w:val="24"/>
                <w:szCs w:val="24"/>
                <w:lang w:val="en-US"/>
              </w:rPr>
              <w:t>;</w:t>
            </w:r>
            <w:r w:rsidRPr="00435EC2">
              <w:rPr>
                <w:rFonts w:cstheme="minorHAnsi"/>
                <w:sz w:val="24"/>
                <w:szCs w:val="24"/>
                <w:lang w:val="en-US"/>
              </w:rPr>
              <w:t xml:space="preserve"> nothing is inferable from this list.</w:t>
            </w:r>
          </w:p>
        </w:tc>
      </w:tr>
      <w:tr w:rsidR="00800802" w:rsidRPr="00435EC2" w14:paraId="7E6A2FF4" w14:textId="77777777" w:rsidTr="002B469D">
        <w:trPr>
          <w:jc w:val="center"/>
        </w:trPr>
        <w:tc>
          <w:tcPr>
            <w:tcW w:w="1137" w:type="dxa"/>
            <w:vAlign w:val="center"/>
          </w:tcPr>
          <w:p w14:paraId="1107932C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1558" w:type="dxa"/>
            <w:vAlign w:val="center"/>
          </w:tcPr>
          <w:p w14:paraId="6AA5A891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Ordinal</w:t>
            </w:r>
          </w:p>
        </w:tc>
        <w:tc>
          <w:tcPr>
            <w:tcW w:w="5789" w:type="dxa"/>
            <w:vAlign w:val="center"/>
          </w:tcPr>
          <w:p w14:paraId="7040BB9B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  <w:lang w:val="en-US"/>
              </w:rPr>
              <w:t>The categories provide a list of answers, but they are not operable on mathematically.</w:t>
            </w:r>
          </w:p>
        </w:tc>
      </w:tr>
      <w:tr w:rsidR="00800802" w:rsidRPr="00435EC2" w14:paraId="712EFB79" w14:textId="77777777" w:rsidTr="002B469D">
        <w:trPr>
          <w:jc w:val="center"/>
        </w:trPr>
        <w:tc>
          <w:tcPr>
            <w:tcW w:w="1137" w:type="dxa"/>
            <w:vAlign w:val="center"/>
          </w:tcPr>
          <w:p w14:paraId="4ABE8D37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4</w:t>
            </w:r>
          </w:p>
        </w:tc>
        <w:tc>
          <w:tcPr>
            <w:tcW w:w="1558" w:type="dxa"/>
            <w:vAlign w:val="center"/>
          </w:tcPr>
          <w:p w14:paraId="0B3C4E47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Interval/ratio</w:t>
            </w:r>
          </w:p>
        </w:tc>
        <w:tc>
          <w:tcPr>
            <w:tcW w:w="5789" w:type="dxa"/>
            <w:vAlign w:val="center"/>
          </w:tcPr>
          <w:p w14:paraId="23939E5C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  <w:lang w:val="en-US"/>
              </w:rPr>
              <w:t>From these results extrapolations can take place to find other values.</w:t>
            </w:r>
          </w:p>
        </w:tc>
      </w:tr>
      <w:tr w:rsidR="00800802" w:rsidRPr="00435EC2" w14:paraId="1F46DB49" w14:textId="77777777" w:rsidTr="002B469D">
        <w:trPr>
          <w:jc w:val="center"/>
        </w:trPr>
        <w:tc>
          <w:tcPr>
            <w:tcW w:w="1137" w:type="dxa"/>
            <w:vAlign w:val="center"/>
          </w:tcPr>
          <w:p w14:paraId="327238CF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5</w:t>
            </w:r>
          </w:p>
        </w:tc>
        <w:tc>
          <w:tcPr>
            <w:tcW w:w="1558" w:type="dxa"/>
            <w:vAlign w:val="center"/>
          </w:tcPr>
          <w:p w14:paraId="62FA2DBF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Ordinal</w:t>
            </w:r>
          </w:p>
        </w:tc>
        <w:tc>
          <w:tcPr>
            <w:tcW w:w="5789" w:type="dxa"/>
            <w:vAlign w:val="center"/>
          </w:tcPr>
          <w:p w14:paraId="32B9DC58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You cannot say that out of 50 schools the </w:t>
            </w:r>
            <w:proofErr w:type="gramStart"/>
            <w:r w:rsidRPr="00435EC2">
              <w:rPr>
                <w:rFonts w:asciiTheme="minorHAnsi" w:hAnsiTheme="minorHAnsi" w:cstheme="minorHAnsi"/>
                <w:b w:val="0"/>
                <w:bCs w:val="0"/>
                <w:lang w:val="en-US"/>
              </w:rPr>
              <w:t>1st</w:t>
            </w:r>
            <w:proofErr w:type="gramEnd"/>
            <w:r w:rsidRPr="00435EC2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is twenty-five times better than the 25</w:t>
            </w:r>
            <w:r w:rsidRPr="00770A86">
              <w:rPr>
                <w:rFonts w:asciiTheme="minorHAnsi" w:hAnsiTheme="minorHAnsi" w:cstheme="minorHAnsi"/>
                <w:b w:val="0"/>
                <w:bCs w:val="0"/>
                <w:lang w:val="en-US"/>
              </w:rPr>
              <w:t>th</w:t>
            </w:r>
            <w:r w:rsidRPr="00435EC2">
              <w:rPr>
                <w:rFonts w:asciiTheme="minorHAnsi" w:hAnsiTheme="minorHAnsi" w:cstheme="minorHAnsi"/>
                <w:b w:val="0"/>
                <w:bCs w:val="0"/>
                <w:lang w:val="en-US"/>
              </w:rPr>
              <w:t>.</w:t>
            </w:r>
          </w:p>
        </w:tc>
      </w:tr>
      <w:tr w:rsidR="00800802" w:rsidRPr="00435EC2" w14:paraId="152254F1" w14:textId="77777777" w:rsidTr="002B469D">
        <w:trPr>
          <w:jc w:val="center"/>
        </w:trPr>
        <w:tc>
          <w:tcPr>
            <w:tcW w:w="1137" w:type="dxa"/>
            <w:vAlign w:val="center"/>
          </w:tcPr>
          <w:p w14:paraId="7C5745A6" w14:textId="77777777" w:rsidR="00800802" w:rsidRPr="00435EC2" w:rsidRDefault="00800802" w:rsidP="00814F09">
            <w:pPr>
              <w:pStyle w:val="Subtitle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6</w:t>
            </w:r>
          </w:p>
        </w:tc>
        <w:tc>
          <w:tcPr>
            <w:tcW w:w="1558" w:type="dxa"/>
            <w:vAlign w:val="center"/>
          </w:tcPr>
          <w:p w14:paraId="3B17F21B" w14:textId="77777777" w:rsidR="00800802" w:rsidRPr="00435EC2" w:rsidRDefault="00800802" w:rsidP="00814F09">
            <w:pPr>
              <w:pStyle w:val="Subtitle"/>
              <w:rPr>
                <w:rFonts w:asciiTheme="minorHAnsi" w:hAnsiTheme="minorHAnsi" w:cstheme="minorHAnsi"/>
                <w:b w:val="0"/>
                <w:bCs w:val="0"/>
              </w:rPr>
            </w:pPr>
            <w:r w:rsidRPr="00435EC2">
              <w:rPr>
                <w:rFonts w:asciiTheme="minorHAnsi" w:hAnsiTheme="minorHAnsi" w:cstheme="minorHAnsi"/>
                <w:b w:val="0"/>
                <w:bCs w:val="0"/>
              </w:rPr>
              <w:t>Ordinal or Interval/ratio</w:t>
            </w:r>
          </w:p>
        </w:tc>
        <w:tc>
          <w:tcPr>
            <w:tcW w:w="5789" w:type="dxa"/>
            <w:vAlign w:val="center"/>
          </w:tcPr>
          <w:p w14:paraId="20AFD8F1" w14:textId="6CD7CFE7" w:rsidR="00800802" w:rsidRPr="00435EC2" w:rsidRDefault="00800802" w:rsidP="00521B9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35EC2">
              <w:rPr>
                <w:rFonts w:cstheme="minorHAnsi"/>
                <w:sz w:val="24"/>
                <w:szCs w:val="24"/>
                <w:lang w:val="en-US"/>
              </w:rPr>
              <w:t>For one examination the differences between 40 and 60 is not measurably the same as between 30 and 50</w:t>
            </w:r>
            <w:r w:rsidR="00AD08AB" w:rsidRPr="00435EC2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435EC2">
              <w:rPr>
                <w:rFonts w:cstheme="minorHAnsi"/>
                <w:sz w:val="24"/>
                <w:szCs w:val="24"/>
                <w:lang w:val="en-US"/>
              </w:rPr>
              <w:t xml:space="preserve"> so this would be ordinal data. However, if you wanted to compare the results of one examination with another, as in experimental research</w:t>
            </w:r>
            <w:r w:rsidR="00521B97" w:rsidRPr="00435EC2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435EC2">
              <w:rPr>
                <w:rFonts w:cstheme="minorHAnsi"/>
                <w:sz w:val="24"/>
                <w:szCs w:val="24"/>
                <w:lang w:val="en-US"/>
              </w:rPr>
              <w:t xml:space="preserve"> then the results would be viewed as interval/ratio data.</w:t>
            </w:r>
          </w:p>
        </w:tc>
      </w:tr>
    </w:tbl>
    <w:p w14:paraId="61216EA6" w14:textId="77777777" w:rsidR="00800802" w:rsidRPr="00435EC2" w:rsidRDefault="00800802" w:rsidP="00800802">
      <w:pPr>
        <w:jc w:val="center"/>
        <w:rPr>
          <w:rFonts w:cstheme="minorHAnsi"/>
          <w:b/>
          <w:sz w:val="24"/>
          <w:szCs w:val="24"/>
        </w:rPr>
      </w:pPr>
    </w:p>
    <w:p w14:paraId="5A9ED2FC" w14:textId="77777777" w:rsidR="00800802" w:rsidRPr="00435EC2" w:rsidRDefault="00800802" w:rsidP="00800802">
      <w:pPr>
        <w:spacing w:line="240" w:lineRule="auto"/>
        <w:rPr>
          <w:rFonts w:cstheme="minorHAnsi"/>
          <w:bCs/>
          <w:sz w:val="24"/>
          <w:szCs w:val="24"/>
        </w:rPr>
      </w:pPr>
    </w:p>
    <w:p w14:paraId="1A10F0FB" w14:textId="4E02E7D5" w:rsidR="00800802" w:rsidRPr="00435EC2" w:rsidRDefault="00800802" w:rsidP="00800802">
      <w:pPr>
        <w:spacing w:line="240" w:lineRule="auto"/>
        <w:rPr>
          <w:rFonts w:cstheme="minorHAnsi"/>
          <w:sz w:val="24"/>
          <w:szCs w:val="24"/>
        </w:rPr>
      </w:pPr>
      <w:r w:rsidRPr="00435EC2">
        <w:rPr>
          <w:rFonts w:cstheme="minorHAnsi"/>
          <w:bCs/>
          <w:sz w:val="24"/>
          <w:szCs w:val="24"/>
        </w:rPr>
        <w:t>Opie, C. and Brown, D. (eds) (201</w:t>
      </w:r>
      <w:r w:rsidR="00D23686" w:rsidRPr="00435EC2">
        <w:rPr>
          <w:rFonts w:cstheme="minorHAnsi"/>
          <w:bCs/>
          <w:sz w:val="24"/>
          <w:szCs w:val="24"/>
        </w:rPr>
        <w:t>9</w:t>
      </w:r>
      <w:r w:rsidRPr="00435EC2">
        <w:rPr>
          <w:rFonts w:cstheme="minorHAnsi"/>
          <w:bCs/>
          <w:sz w:val="24"/>
          <w:szCs w:val="24"/>
        </w:rPr>
        <w:t xml:space="preserve">) </w:t>
      </w:r>
      <w:r w:rsidRPr="00435EC2">
        <w:rPr>
          <w:rFonts w:cstheme="minorHAnsi"/>
          <w:bCs/>
          <w:i/>
          <w:sz w:val="24"/>
          <w:szCs w:val="24"/>
        </w:rPr>
        <w:t>Getting Started in Your Educational Research: A Student’s Guide to Design, Data Production and Analysis</w:t>
      </w:r>
      <w:r w:rsidR="00814F09" w:rsidRPr="00435EC2">
        <w:rPr>
          <w:rFonts w:cstheme="minorHAnsi"/>
          <w:bCs/>
          <w:sz w:val="24"/>
          <w:szCs w:val="24"/>
        </w:rPr>
        <w:t>.</w:t>
      </w:r>
      <w:r w:rsidRPr="00435EC2">
        <w:rPr>
          <w:rFonts w:cstheme="minorHAnsi"/>
          <w:bCs/>
          <w:sz w:val="24"/>
          <w:szCs w:val="24"/>
        </w:rPr>
        <w:t xml:space="preserve"> </w:t>
      </w:r>
      <w:r w:rsidR="00D23686" w:rsidRPr="00435EC2">
        <w:rPr>
          <w:rFonts w:cstheme="minorHAnsi"/>
          <w:bCs/>
          <w:sz w:val="24"/>
          <w:szCs w:val="24"/>
        </w:rPr>
        <w:t>London:</w:t>
      </w:r>
      <w:r w:rsidR="00814F09" w:rsidRPr="00435EC2">
        <w:rPr>
          <w:rFonts w:cstheme="minorHAnsi"/>
          <w:bCs/>
          <w:sz w:val="24"/>
          <w:szCs w:val="24"/>
        </w:rPr>
        <w:t xml:space="preserve"> </w:t>
      </w:r>
      <w:r w:rsidR="00D23686" w:rsidRPr="00435EC2">
        <w:rPr>
          <w:rFonts w:cstheme="minorHAnsi"/>
          <w:bCs/>
          <w:sz w:val="24"/>
          <w:szCs w:val="24"/>
        </w:rPr>
        <w:t>S</w:t>
      </w:r>
      <w:r w:rsidR="00814F09" w:rsidRPr="00435EC2">
        <w:rPr>
          <w:rFonts w:cstheme="minorHAnsi"/>
          <w:bCs/>
          <w:sz w:val="24"/>
          <w:szCs w:val="24"/>
        </w:rPr>
        <w:t>age</w:t>
      </w:r>
      <w:r w:rsidR="00770A86">
        <w:rPr>
          <w:rFonts w:cstheme="minorHAnsi"/>
          <w:bCs/>
          <w:sz w:val="24"/>
          <w:szCs w:val="24"/>
        </w:rPr>
        <w:t>.</w:t>
      </w:r>
    </w:p>
    <w:p w14:paraId="16F98216" w14:textId="77777777" w:rsidR="00800802" w:rsidRPr="00435EC2" w:rsidRDefault="00800802" w:rsidP="00800802">
      <w:pPr>
        <w:rPr>
          <w:rFonts w:cstheme="minorHAnsi"/>
          <w:b/>
          <w:sz w:val="24"/>
          <w:szCs w:val="24"/>
        </w:rPr>
      </w:pPr>
    </w:p>
    <w:sectPr w:rsidR="00800802" w:rsidRPr="00435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2"/>
    <w:rsid w:val="00270257"/>
    <w:rsid w:val="002B469D"/>
    <w:rsid w:val="00393447"/>
    <w:rsid w:val="003E4FF0"/>
    <w:rsid w:val="00435EC2"/>
    <w:rsid w:val="00521B97"/>
    <w:rsid w:val="00586D2B"/>
    <w:rsid w:val="00716BE8"/>
    <w:rsid w:val="00770A86"/>
    <w:rsid w:val="00774DAF"/>
    <w:rsid w:val="00800802"/>
    <w:rsid w:val="00814F09"/>
    <w:rsid w:val="00AD08AB"/>
    <w:rsid w:val="00D23686"/>
    <w:rsid w:val="00DE3D79"/>
    <w:rsid w:val="00E61BC4"/>
    <w:rsid w:val="00E91185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4EB90"/>
  <w15:docId w15:val="{10BE47BD-EA41-43D2-8451-F7DCA77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0080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08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rsid w:val="008008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8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0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10</cp:revision>
  <dcterms:created xsi:type="dcterms:W3CDTF">2018-04-28T15:35:00Z</dcterms:created>
  <dcterms:modified xsi:type="dcterms:W3CDTF">2019-02-05T14:53:00Z</dcterms:modified>
</cp:coreProperties>
</file>