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D59" w14:textId="77777777" w:rsidR="002E0036" w:rsidRPr="00B87913" w:rsidRDefault="002E0036" w:rsidP="00B90138">
      <w:pPr>
        <w:pStyle w:val="Title"/>
      </w:pPr>
      <w:r w:rsidRPr="00B87913">
        <w:t>Weblinks</w:t>
      </w:r>
    </w:p>
    <w:p w14:paraId="01344FFD" w14:textId="77777777" w:rsidR="002E0036" w:rsidRPr="00B90138" w:rsidRDefault="002E0036" w:rsidP="00D94C34">
      <w:pPr>
        <w:rPr>
          <w:b/>
        </w:rPr>
      </w:pPr>
      <w:r w:rsidRPr="00B90138">
        <w:rPr>
          <w:b/>
        </w:rPr>
        <w:t xml:space="preserve">Title: </w:t>
      </w:r>
      <w:r w:rsidRPr="00B90138">
        <w:rPr>
          <w:bCs/>
        </w:rPr>
        <w:t>Question Design Patterns</w:t>
      </w:r>
    </w:p>
    <w:p w14:paraId="4EED4BBD" w14:textId="77777777" w:rsidR="002E0036" w:rsidRPr="00B90138" w:rsidRDefault="002E0036" w:rsidP="00D94C34">
      <w:pPr>
        <w:rPr>
          <w:b/>
        </w:rPr>
      </w:pPr>
      <w:r w:rsidRPr="00B90138">
        <w:rPr>
          <w:b/>
        </w:rPr>
        <w:t xml:space="preserve">Explanation: </w:t>
      </w:r>
      <w:r w:rsidRPr="00B90138">
        <w:rPr>
          <w:bCs/>
        </w:rPr>
        <w:t xml:space="preserve">Patterns are </w:t>
      </w:r>
      <w:r w:rsidR="00B50C88" w:rsidRPr="00B90138">
        <w:rPr>
          <w:bCs/>
        </w:rPr>
        <w:t>best</w:t>
      </w:r>
      <w:r w:rsidR="00B50C88">
        <w:rPr>
          <w:bCs/>
        </w:rPr>
        <w:t>-</w:t>
      </w:r>
      <w:r w:rsidRPr="00B90138">
        <w:rPr>
          <w:bCs/>
        </w:rPr>
        <w:t>practice template</w:t>
      </w:r>
      <w:r w:rsidR="00B50C88">
        <w:rPr>
          <w:bCs/>
        </w:rPr>
        <w:t>s</w:t>
      </w:r>
      <w:r w:rsidRPr="00B90138">
        <w:rPr>
          <w:bCs/>
        </w:rPr>
        <w:t xml:space="preserve"> or design solutions for specific user-focused tasks and page types. For example, recommended wording and layout for collection of date of birth information. </w:t>
      </w:r>
      <w:r w:rsidRPr="00B90138">
        <w:rPr>
          <w:bCs/>
          <w:shd w:val="clear" w:color="auto" w:fill="FFFFFF" w:themeFill="background1"/>
        </w:rPr>
        <w:t>These were discussed in chapter 1.</w:t>
      </w:r>
    </w:p>
    <w:p w14:paraId="007F7FA9" w14:textId="77777777" w:rsidR="002E0036" w:rsidRPr="00B90138" w:rsidRDefault="002E0036" w:rsidP="00D94C34">
      <w:r w:rsidRPr="00B90138">
        <w:rPr>
          <w:b/>
        </w:rPr>
        <w:t xml:space="preserve">URL: </w:t>
      </w:r>
      <w:hyperlink r:id="rId8" w:history="1">
        <w:r w:rsidRPr="00B90138">
          <w:rPr>
            <w:rStyle w:val="Hyperlink"/>
          </w:rPr>
          <w:t>https://design-system.service.gov.uk/patterns/</w:t>
        </w:r>
      </w:hyperlink>
    </w:p>
    <w:p w14:paraId="446C0F6C" w14:textId="77777777" w:rsidR="00E41FC4" w:rsidRDefault="00E41FC4" w:rsidP="00D94C34">
      <w:pPr>
        <w:rPr>
          <w:b/>
        </w:rPr>
      </w:pPr>
    </w:p>
    <w:p w14:paraId="365127D9" w14:textId="73C41525" w:rsidR="002E0036" w:rsidRPr="00B90138" w:rsidRDefault="002E0036" w:rsidP="00D94C34">
      <w:r w:rsidRPr="00B90138">
        <w:rPr>
          <w:b/>
        </w:rPr>
        <w:t xml:space="preserve">Title: </w:t>
      </w:r>
      <w:r w:rsidRPr="00B90138">
        <w:rPr>
          <w:bCs/>
        </w:rPr>
        <w:t>Hemmingway App, readability checker</w:t>
      </w:r>
    </w:p>
    <w:p w14:paraId="6272852D" w14:textId="77777777" w:rsidR="002E0036" w:rsidRPr="00B90138" w:rsidRDefault="002E0036" w:rsidP="00D94C34">
      <w:pPr>
        <w:rPr>
          <w:bCs/>
        </w:rPr>
      </w:pPr>
      <w:r w:rsidRPr="00B90138">
        <w:rPr>
          <w:b/>
        </w:rPr>
        <w:t xml:space="preserve">Explanation: </w:t>
      </w:r>
      <w:r w:rsidRPr="00B90138">
        <w:rPr>
          <w:bCs/>
        </w:rPr>
        <w:t>Hemmingway App is a free online editing tool. It analyses text for readability, that is how easy or difficult it is to understand a piece of writing. This can be used when developing survey questions and respondent materials. Chapter 2 explains how to use this tool.</w:t>
      </w:r>
    </w:p>
    <w:p w14:paraId="5E6BF061" w14:textId="77777777" w:rsidR="002E0036" w:rsidRPr="00B90138" w:rsidRDefault="002E0036" w:rsidP="00D94C34">
      <w:r w:rsidRPr="00B90138">
        <w:rPr>
          <w:b/>
        </w:rPr>
        <w:t xml:space="preserve">URL: </w:t>
      </w:r>
      <w:hyperlink r:id="rId9" w:history="1">
        <w:r w:rsidRPr="00B90138">
          <w:rPr>
            <w:rStyle w:val="Hyperlink"/>
          </w:rPr>
          <w:t>https://hemingwayapp.com/</w:t>
        </w:r>
      </w:hyperlink>
    </w:p>
    <w:p w14:paraId="7491F9EF" w14:textId="77777777" w:rsidR="00E41FC4" w:rsidRDefault="00E41FC4" w:rsidP="00D94C34">
      <w:pPr>
        <w:rPr>
          <w:b/>
        </w:rPr>
      </w:pPr>
    </w:p>
    <w:p w14:paraId="6DF19BB1" w14:textId="00987A21" w:rsidR="002E0036" w:rsidRPr="00B90138" w:rsidRDefault="002E0036" w:rsidP="00D94C34">
      <w:pPr>
        <w:rPr>
          <w:bCs/>
        </w:rPr>
      </w:pPr>
      <w:r w:rsidRPr="00B90138">
        <w:rPr>
          <w:b/>
        </w:rPr>
        <w:t xml:space="preserve">Title: </w:t>
      </w:r>
      <w:r w:rsidRPr="00B90138">
        <w:rPr>
          <w:bCs/>
        </w:rPr>
        <w:t>UK Statistics Authority ethics self-assessment tool</w:t>
      </w:r>
    </w:p>
    <w:p w14:paraId="68EEC910" w14:textId="77777777" w:rsidR="002E0036" w:rsidRPr="00B90138" w:rsidRDefault="002E0036" w:rsidP="00D94C34">
      <w:pPr>
        <w:rPr>
          <w:b/>
        </w:rPr>
      </w:pPr>
      <w:r w:rsidRPr="00B90138">
        <w:rPr>
          <w:b/>
        </w:rPr>
        <w:t xml:space="preserve">Explanation: </w:t>
      </w:r>
      <w:r w:rsidRPr="00B90138">
        <w:rPr>
          <w:bCs/>
        </w:rPr>
        <w:t>This ethics self-assessment process aims to offer researchers an easy-to-use framework to review the ethics of their projects throughout the research cycle. There is a section discussing ethics in chapter 4.</w:t>
      </w:r>
    </w:p>
    <w:p w14:paraId="2BA45D14" w14:textId="77777777" w:rsidR="002E0036" w:rsidRPr="00B90138" w:rsidRDefault="002E0036" w:rsidP="00D94C34">
      <w:pPr>
        <w:rPr>
          <w:b/>
        </w:rPr>
      </w:pPr>
      <w:r w:rsidRPr="00B90138">
        <w:rPr>
          <w:b/>
        </w:rPr>
        <w:t xml:space="preserve">URL: </w:t>
      </w:r>
      <w:hyperlink r:id="rId10" w:history="1">
        <w:r w:rsidRPr="00B90138">
          <w:rPr>
            <w:rStyle w:val="Hyperlink"/>
          </w:rPr>
          <w:t>https://uksa.statisticsauthority.gov.uk/about-the-authority/committees/national-statisticians-data-ethics-advisory-committee/ethics-self-assessment-tool/</w:t>
        </w:r>
      </w:hyperlink>
    </w:p>
    <w:p w14:paraId="4BFF6650" w14:textId="77777777" w:rsidR="00E41FC4" w:rsidRDefault="00E41FC4" w:rsidP="00D94C34">
      <w:pPr>
        <w:rPr>
          <w:b/>
        </w:rPr>
      </w:pPr>
    </w:p>
    <w:p w14:paraId="5B93A22E" w14:textId="1F2E3DA3" w:rsidR="002E0036" w:rsidRPr="00B90138" w:rsidRDefault="002E0036" w:rsidP="00D94C34">
      <w:pPr>
        <w:rPr>
          <w:bCs/>
        </w:rPr>
      </w:pPr>
      <w:r w:rsidRPr="00B90138">
        <w:rPr>
          <w:b/>
        </w:rPr>
        <w:t xml:space="preserve">Title: </w:t>
      </w:r>
      <w:r w:rsidRPr="00B90138">
        <w:rPr>
          <w:bCs/>
        </w:rPr>
        <w:t>Information about protecting data</w:t>
      </w:r>
    </w:p>
    <w:p w14:paraId="49C1975A" w14:textId="77777777" w:rsidR="002E0036" w:rsidRPr="00B90138" w:rsidRDefault="002E0036" w:rsidP="00D94C34">
      <w:pPr>
        <w:rPr>
          <w:b/>
        </w:rPr>
      </w:pPr>
      <w:r w:rsidRPr="00B90138">
        <w:rPr>
          <w:b/>
        </w:rPr>
        <w:t xml:space="preserve">Explanation: </w:t>
      </w:r>
      <w:r w:rsidRPr="00B90138">
        <w:rPr>
          <w:bCs/>
        </w:rPr>
        <w:t>The RESPECT guidelines are intended to form the basis of a voluntary code of practice covering the conduct of socio-economic research in Europe. This code of practice is intended as an aid to responsible and informed decision-making, not a substitute for it. It is thus an aspirational code, not a prescriptive one. Data protection was discussed in chapter 4.</w:t>
      </w:r>
    </w:p>
    <w:p w14:paraId="22D82CF7" w14:textId="77777777" w:rsidR="002E0036" w:rsidRPr="00B90138" w:rsidRDefault="002E0036" w:rsidP="00D94C34">
      <w:pPr>
        <w:rPr>
          <w:rStyle w:val="Hyperlink"/>
        </w:rPr>
      </w:pPr>
      <w:r w:rsidRPr="00B90138">
        <w:rPr>
          <w:b/>
        </w:rPr>
        <w:t xml:space="preserve">URL: </w:t>
      </w:r>
      <w:hyperlink r:id="rId11" w:history="1">
        <w:r w:rsidRPr="00B90138">
          <w:rPr>
            <w:rStyle w:val="Hyperlink"/>
          </w:rPr>
          <w:t>http://www.respectproject.org/code/index.php</w:t>
        </w:r>
      </w:hyperlink>
    </w:p>
    <w:p w14:paraId="5A41CE54" w14:textId="77777777" w:rsidR="002E0036" w:rsidRPr="00B90138" w:rsidRDefault="002E0036" w:rsidP="00D94C34">
      <w:pPr>
        <w:rPr>
          <w:bCs/>
        </w:rPr>
      </w:pPr>
      <w:r w:rsidRPr="00B90138">
        <w:rPr>
          <w:b/>
        </w:rPr>
        <w:lastRenderedPageBreak/>
        <w:t xml:space="preserve">Title: </w:t>
      </w:r>
      <w:r w:rsidRPr="00B90138">
        <w:rPr>
          <w:bCs/>
        </w:rPr>
        <w:t>GOV.UK design and best practice webpages</w:t>
      </w:r>
    </w:p>
    <w:p w14:paraId="29955B1D" w14:textId="77777777" w:rsidR="002E0036" w:rsidRPr="00B90138" w:rsidRDefault="002E0036" w:rsidP="00D94C34">
      <w:pPr>
        <w:rPr>
          <w:bCs/>
        </w:rPr>
      </w:pPr>
      <w:r w:rsidRPr="00B90138">
        <w:rPr>
          <w:b/>
        </w:rPr>
        <w:t xml:space="preserve">Explanation: </w:t>
      </w:r>
      <w:r w:rsidRPr="00B90138">
        <w:rPr>
          <w:bCs/>
        </w:rPr>
        <w:t xml:space="preserve">Link to the GOV.UK service manual which provides guidance for those designing and </w:t>
      </w:r>
      <w:r w:rsidR="00B50C88" w:rsidRPr="00B90138">
        <w:rPr>
          <w:bCs/>
        </w:rPr>
        <w:t>deliver</w:t>
      </w:r>
      <w:r w:rsidR="00B50C88">
        <w:rPr>
          <w:bCs/>
        </w:rPr>
        <w:t>ing</w:t>
      </w:r>
      <w:r w:rsidR="00B50C88" w:rsidRPr="00B90138">
        <w:rPr>
          <w:bCs/>
        </w:rPr>
        <w:t xml:space="preserve"> </w:t>
      </w:r>
      <w:r w:rsidRPr="00B90138">
        <w:rPr>
          <w:bCs/>
        </w:rPr>
        <w:t>services for the public to interact with. Advice includes support on Agile delivery, User Research methods and general design advice. This will support the information discussed in chapters 1 and 3.</w:t>
      </w:r>
    </w:p>
    <w:p w14:paraId="61D51EE8" w14:textId="77777777" w:rsidR="002E0036" w:rsidRPr="00B90138" w:rsidRDefault="002E0036" w:rsidP="00D94C34">
      <w:pPr>
        <w:rPr>
          <w:rStyle w:val="Hyperlink"/>
        </w:rPr>
      </w:pPr>
      <w:r w:rsidRPr="00B90138">
        <w:rPr>
          <w:b/>
        </w:rPr>
        <w:t xml:space="preserve">URL: </w:t>
      </w:r>
      <w:hyperlink r:id="rId12" w:history="1">
        <w:r w:rsidRPr="00B90138">
          <w:rPr>
            <w:rStyle w:val="Hyperlink"/>
          </w:rPr>
          <w:t>https://www.gov.uk/service-manual</w:t>
        </w:r>
      </w:hyperlink>
    </w:p>
    <w:p w14:paraId="77CE1814" w14:textId="77777777" w:rsidR="00E41FC4" w:rsidRDefault="00E41FC4" w:rsidP="00D94C34">
      <w:pPr>
        <w:rPr>
          <w:b/>
        </w:rPr>
      </w:pPr>
    </w:p>
    <w:p w14:paraId="480F8D09" w14:textId="2004EB93" w:rsidR="002E0036" w:rsidRPr="00B90138" w:rsidRDefault="002E0036" w:rsidP="00D94C34">
      <w:pPr>
        <w:rPr>
          <w:bCs/>
        </w:rPr>
      </w:pPr>
      <w:r w:rsidRPr="00B90138">
        <w:rPr>
          <w:b/>
        </w:rPr>
        <w:t xml:space="preserve">Title: </w:t>
      </w:r>
      <w:r w:rsidRPr="00B90138">
        <w:rPr>
          <w:bCs/>
        </w:rPr>
        <w:t xml:space="preserve">Blogs from </w:t>
      </w:r>
      <w:proofErr w:type="spellStart"/>
      <w:r w:rsidRPr="00B90138">
        <w:rPr>
          <w:bCs/>
        </w:rPr>
        <w:t>MeasuringU</w:t>
      </w:r>
      <w:proofErr w:type="spellEnd"/>
    </w:p>
    <w:p w14:paraId="17A27B8C" w14:textId="77777777" w:rsidR="002E0036" w:rsidRPr="00B90138" w:rsidRDefault="002E0036" w:rsidP="00D94C34">
      <w:pPr>
        <w:rPr>
          <w:b/>
        </w:rPr>
      </w:pPr>
      <w:r w:rsidRPr="00B90138">
        <w:rPr>
          <w:b/>
        </w:rPr>
        <w:t xml:space="preserve">Explanation: </w:t>
      </w:r>
      <w:r w:rsidRPr="00B90138">
        <w:rPr>
          <w:bCs/>
        </w:rPr>
        <w:t>Useful collection of blogs about research planning, methods, design and testing. These will support the information discussed in chapters 4 and 5.</w:t>
      </w:r>
    </w:p>
    <w:p w14:paraId="4F6A6534" w14:textId="77777777" w:rsidR="002E0036" w:rsidRDefault="002E0036" w:rsidP="00D94C34">
      <w:pPr>
        <w:rPr>
          <w:rStyle w:val="Hyperlink"/>
        </w:rPr>
      </w:pPr>
      <w:r w:rsidRPr="00B90138">
        <w:rPr>
          <w:b/>
        </w:rPr>
        <w:t xml:space="preserve">URL: </w:t>
      </w:r>
      <w:hyperlink r:id="rId13" w:history="1">
        <w:r w:rsidRPr="00B90138">
          <w:rPr>
            <w:rStyle w:val="Hyperlink"/>
          </w:rPr>
          <w:t>https://measuringu.com/blogs/</w:t>
        </w:r>
      </w:hyperlink>
    </w:p>
    <w:p w14:paraId="6D070E4E" w14:textId="77777777" w:rsidR="00E41FC4" w:rsidRDefault="00E41FC4" w:rsidP="00D94C34">
      <w:pPr>
        <w:rPr>
          <w:b/>
        </w:rPr>
      </w:pPr>
    </w:p>
    <w:p w14:paraId="3FB95056" w14:textId="387EA184" w:rsidR="002E0036" w:rsidRPr="00B90138" w:rsidRDefault="002E0036" w:rsidP="00D94C34">
      <w:pPr>
        <w:rPr>
          <w:bCs/>
        </w:rPr>
      </w:pPr>
      <w:r w:rsidRPr="00B90138">
        <w:rPr>
          <w:b/>
        </w:rPr>
        <w:t xml:space="preserve">Title: </w:t>
      </w:r>
      <w:r w:rsidRPr="00B90138">
        <w:rPr>
          <w:bCs/>
        </w:rPr>
        <w:t>Research Operations 101</w:t>
      </w:r>
    </w:p>
    <w:p w14:paraId="434BC1EB" w14:textId="77777777" w:rsidR="002E0036" w:rsidRPr="00B90138" w:rsidRDefault="002E0036" w:rsidP="00D94C34">
      <w:pPr>
        <w:rPr>
          <w:bCs/>
        </w:rPr>
      </w:pPr>
      <w:r w:rsidRPr="00B90138">
        <w:rPr>
          <w:b/>
        </w:rPr>
        <w:t>Explanation:</w:t>
      </w:r>
      <w:r w:rsidRPr="00B90138">
        <w:rPr>
          <w:bCs/>
        </w:rPr>
        <w:t xml:space="preserve"> Overview and explanation of the practice of Research Operations (</w:t>
      </w:r>
      <w:proofErr w:type="spellStart"/>
      <w:r w:rsidRPr="00B90138">
        <w:rPr>
          <w:bCs/>
        </w:rPr>
        <w:t>ResearchOps</w:t>
      </w:r>
      <w:proofErr w:type="spellEnd"/>
      <w:r w:rsidRPr="00B90138">
        <w:rPr>
          <w:bCs/>
        </w:rPr>
        <w:t>). Details how it focuses on processes and measures that support researchers in planning, conducting, and applying quality research at scale. This will support the information discussed in chapters 4 and 5.</w:t>
      </w:r>
    </w:p>
    <w:p w14:paraId="4C5B2392" w14:textId="77777777" w:rsidR="002E0036" w:rsidRPr="00B90138" w:rsidRDefault="002E0036" w:rsidP="00D94C34">
      <w:pPr>
        <w:pStyle w:val="PlainText"/>
        <w:spacing w:after="160"/>
        <w:rPr>
          <w:rFonts w:ascii="Times New Roman" w:hAnsi="Times New Roman" w:cs="Times New Roman"/>
          <w:szCs w:val="24"/>
        </w:rPr>
      </w:pPr>
      <w:r w:rsidRPr="00B90138">
        <w:rPr>
          <w:rFonts w:ascii="Times New Roman" w:hAnsi="Times New Roman" w:cs="Times New Roman"/>
          <w:b/>
          <w:szCs w:val="24"/>
        </w:rPr>
        <w:t xml:space="preserve">URL: </w:t>
      </w:r>
      <w:hyperlink r:id="rId14" w:history="1">
        <w:r w:rsidRPr="00B90138">
          <w:rPr>
            <w:rStyle w:val="Hyperlink"/>
            <w:rFonts w:ascii="Times New Roman" w:hAnsi="Times New Roman" w:cs="Times New Roman"/>
            <w:szCs w:val="24"/>
          </w:rPr>
          <w:t>https://www.nngroup.com/articles/research-ops-101/</w:t>
        </w:r>
      </w:hyperlink>
    </w:p>
    <w:p w14:paraId="5E199977" w14:textId="77777777" w:rsidR="00E41FC4" w:rsidRDefault="00E41FC4" w:rsidP="00D94C34">
      <w:pPr>
        <w:rPr>
          <w:b/>
        </w:rPr>
      </w:pPr>
    </w:p>
    <w:p w14:paraId="5F7071A7" w14:textId="42BCBFDF" w:rsidR="002E0036" w:rsidRPr="00B90138" w:rsidRDefault="002E0036" w:rsidP="00D94C34">
      <w:pPr>
        <w:rPr>
          <w:bCs/>
        </w:rPr>
      </w:pPr>
      <w:r w:rsidRPr="00B90138">
        <w:rPr>
          <w:b/>
        </w:rPr>
        <w:t xml:space="preserve">Title: </w:t>
      </w:r>
      <w:r w:rsidRPr="00B90138">
        <w:rPr>
          <w:bCs/>
        </w:rPr>
        <w:t>Making Accessibility accessible: The POUR Principles</w:t>
      </w:r>
    </w:p>
    <w:p w14:paraId="77C4F6CC" w14:textId="77777777" w:rsidR="002E0036" w:rsidRPr="00B90138" w:rsidRDefault="002E0036" w:rsidP="00D94C34">
      <w:pPr>
        <w:rPr>
          <w:b/>
        </w:rPr>
      </w:pPr>
      <w:r w:rsidRPr="00B90138">
        <w:rPr>
          <w:b/>
        </w:rPr>
        <w:t xml:space="preserve">Explanation: </w:t>
      </w:r>
      <w:r w:rsidRPr="00B90138">
        <w:rPr>
          <w:bCs/>
        </w:rPr>
        <w:t xml:space="preserve">Information about accessibility and accessible design. Includes four principles (POUR) to guide you in your work and approach </w:t>
      </w:r>
      <w:proofErr w:type="gramStart"/>
      <w:r w:rsidRPr="00B90138">
        <w:rPr>
          <w:bCs/>
        </w:rPr>
        <w:t xml:space="preserve">in order </w:t>
      </w:r>
      <w:r w:rsidR="00B50C88">
        <w:rPr>
          <w:bCs/>
        </w:rPr>
        <w:t>to</w:t>
      </w:r>
      <w:proofErr w:type="gramEnd"/>
      <w:r w:rsidR="00B50C88">
        <w:rPr>
          <w:bCs/>
        </w:rPr>
        <w:t xml:space="preserve"> </w:t>
      </w:r>
      <w:r w:rsidRPr="00B90138">
        <w:rPr>
          <w:bCs/>
        </w:rPr>
        <w:t>design inclusively. The importance of accessible design was discussed in chapter 1.</w:t>
      </w:r>
    </w:p>
    <w:p w14:paraId="5A3CD5DC" w14:textId="77777777" w:rsidR="009C6C61" w:rsidRPr="00D94C34" w:rsidRDefault="002E0036" w:rsidP="00D94C34">
      <w:r w:rsidRPr="00B90138">
        <w:rPr>
          <w:b/>
        </w:rPr>
        <w:t xml:space="preserve">URL: </w:t>
      </w:r>
      <w:hyperlink r:id="rId15" w:history="1">
        <w:r w:rsidRPr="00B90138">
          <w:rPr>
            <w:rStyle w:val="Hyperlink"/>
          </w:rPr>
          <w:t>https://medium.com/the-school-of-do/making-accessibility-accessible-the-pour-principles-f5ad21eda12f</w:t>
        </w:r>
      </w:hyperlink>
    </w:p>
    <w:sectPr w:rsidR="009C6C61" w:rsidRPr="00D94C34" w:rsidSect="00D83A68">
      <w:headerReference w:type="default" r:id="rId16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4F7B" w14:textId="77777777" w:rsidR="009A25BB" w:rsidRDefault="009A25BB">
      <w:r>
        <w:separator/>
      </w:r>
    </w:p>
  </w:endnote>
  <w:endnote w:type="continuationSeparator" w:id="0">
    <w:p w14:paraId="0D32A15E" w14:textId="77777777" w:rsidR="009A25BB" w:rsidRDefault="009A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4C89" w14:textId="77777777" w:rsidR="009A25BB" w:rsidRDefault="009A25BB">
      <w:r>
        <w:separator/>
      </w:r>
    </w:p>
  </w:footnote>
  <w:footnote w:type="continuationSeparator" w:id="0">
    <w:p w14:paraId="575EA984" w14:textId="77777777" w:rsidR="009A25BB" w:rsidRDefault="009A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C6BB" w14:textId="77777777" w:rsidR="009C6C61" w:rsidRDefault="009C6C61" w:rsidP="009C6C61">
    <w:pPr>
      <w:pStyle w:val="Header"/>
      <w:jc w:val="right"/>
      <w:rPr>
        <w:color w:val="221E1F"/>
      </w:rPr>
    </w:pPr>
    <w:r w:rsidRPr="009C6C61">
      <w:rPr>
        <w:color w:val="221E1F"/>
      </w:rPr>
      <w:t xml:space="preserve">Wilson &amp; Dickinson, </w:t>
    </w:r>
    <w:r w:rsidRPr="009C6C61">
      <w:rPr>
        <w:i/>
        <w:color w:val="221E1F"/>
      </w:rPr>
      <w:t xml:space="preserve">Respondent </w:t>
    </w:r>
    <w:proofErr w:type="spellStart"/>
    <w:r w:rsidRPr="009C6C61">
      <w:rPr>
        <w:i/>
        <w:color w:val="221E1F"/>
      </w:rPr>
      <w:t>Centred</w:t>
    </w:r>
    <w:proofErr w:type="spellEnd"/>
    <w:r w:rsidRPr="009C6C61">
      <w:rPr>
        <w:i/>
        <w:color w:val="221E1F"/>
      </w:rPr>
      <w:t xml:space="preserve"> Surveys: Stop, Listen and then Design</w:t>
    </w:r>
  </w:p>
  <w:p w14:paraId="625BC36E" w14:textId="77777777" w:rsidR="004762E3" w:rsidRPr="006F059D" w:rsidRDefault="006F059D" w:rsidP="009C6C61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415269">
    <w:abstractNumId w:val="5"/>
  </w:num>
  <w:num w:numId="2" w16cid:durableId="533731331">
    <w:abstractNumId w:val="11"/>
  </w:num>
  <w:num w:numId="3" w16cid:durableId="763958301">
    <w:abstractNumId w:val="8"/>
  </w:num>
  <w:num w:numId="4" w16cid:durableId="1502355054">
    <w:abstractNumId w:val="6"/>
  </w:num>
  <w:num w:numId="5" w16cid:durableId="1675524890">
    <w:abstractNumId w:val="7"/>
  </w:num>
  <w:num w:numId="6" w16cid:durableId="915168232">
    <w:abstractNumId w:val="4"/>
  </w:num>
  <w:num w:numId="7" w16cid:durableId="1399015233">
    <w:abstractNumId w:val="2"/>
  </w:num>
  <w:num w:numId="8" w16cid:durableId="1599755423">
    <w:abstractNumId w:val="1"/>
  </w:num>
  <w:num w:numId="9" w16cid:durableId="1195847153">
    <w:abstractNumId w:val="0"/>
  </w:num>
  <w:num w:numId="10" w16cid:durableId="1882398288">
    <w:abstractNumId w:val="3"/>
  </w:num>
  <w:num w:numId="11" w16cid:durableId="678510017">
    <w:abstractNumId w:val="9"/>
  </w:num>
  <w:num w:numId="12" w16cid:durableId="928390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E2MjIzNDI0NTFQ0lEKTi0uzszPAykwrAUAN31MMSwAAAA="/>
  </w:docVars>
  <w:rsids>
    <w:rsidRoot w:val="009A25BB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E0036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832C6"/>
    <w:rsid w:val="0069184C"/>
    <w:rsid w:val="006C7443"/>
    <w:rsid w:val="006D1107"/>
    <w:rsid w:val="006E1D22"/>
    <w:rsid w:val="006F059D"/>
    <w:rsid w:val="006F43FC"/>
    <w:rsid w:val="0070463C"/>
    <w:rsid w:val="0072507A"/>
    <w:rsid w:val="00742AD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25BB"/>
    <w:rsid w:val="009A40A6"/>
    <w:rsid w:val="009B2FE8"/>
    <w:rsid w:val="009B7BBD"/>
    <w:rsid w:val="009C6C61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44750"/>
    <w:rsid w:val="00B50C88"/>
    <w:rsid w:val="00B73564"/>
    <w:rsid w:val="00B90138"/>
    <w:rsid w:val="00B95801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94C34"/>
    <w:rsid w:val="00DA246F"/>
    <w:rsid w:val="00E06479"/>
    <w:rsid w:val="00E21D27"/>
    <w:rsid w:val="00E352E1"/>
    <w:rsid w:val="00E41FC4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20BE4B"/>
  <w15:docId w15:val="{37E767F3-9E0B-4CC1-B9D2-4E32F20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036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0036"/>
    <w:pPr>
      <w:contextualSpacing w:val="0"/>
    </w:pPr>
    <w:rPr>
      <w:rFonts w:ascii="Arial" w:eastAsiaTheme="minorHAnsi" w:hAnsi="Arial" w:cs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036"/>
    <w:rPr>
      <w:rFonts w:ascii="Arial" w:eastAsiaTheme="minorHAnsi" w:hAnsi="Arial" w:cs="Calibri"/>
      <w:sz w:val="24"/>
      <w:szCs w:val="21"/>
      <w:lang w:val="en-GB"/>
    </w:rPr>
  </w:style>
  <w:style w:type="character" w:styleId="CommentReference">
    <w:name w:val="annotation reference"/>
    <w:basedOn w:val="DefaultParagraphFont"/>
    <w:semiHidden/>
    <w:unhideWhenUsed/>
    <w:rsid w:val="00D94C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C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C34"/>
    <w:rPr>
      <w:b/>
      <w:bCs/>
    </w:rPr>
  </w:style>
  <w:style w:type="paragraph" w:styleId="Revision">
    <w:name w:val="Revision"/>
    <w:hidden/>
    <w:uiPriority w:val="99"/>
    <w:semiHidden/>
    <w:rsid w:val="00D94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-system.service.gov.uk/patterns/" TargetMode="External"/><Relationship Id="rId13" Type="http://schemas.openxmlformats.org/officeDocument/2006/relationships/hyperlink" Target="https://measuringu.com/blog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ervice-manu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pectproject.org/code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um.com/the-school-of-do/making-accessibility-accessible-the-pour-principles-f5ad21eda12f" TargetMode="External"/><Relationship Id="rId10" Type="http://schemas.openxmlformats.org/officeDocument/2006/relationships/hyperlink" Target="https://uksa.statisticsauthority.gov.uk/about-the-authority/committees/national-statisticians-data-ethics-advisory-committee/ethics-self-assessment-t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mingwayapp.com/" TargetMode="External"/><Relationship Id="rId14" Type="http://schemas.openxmlformats.org/officeDocument/2006/relationships/hyperlink" Target="https://www.nngroup.com/articles/research-ops-1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6866-FCF4-46AD-A74D-4B88F63A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3607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9</cp:revision>
  <dcterms:created xsi:type="dcterms:W3CDTF">2021-11-22T11:38:00Z</dcterms:created>
  <dcterms:modified xsi:type="dcterms:W3CDTF">2022-05-26T10:29:00Z</dcterms:modified>
</cp:coreProperties>
</file>