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3F8" w:rsidRDefault="00A673F8" w:rsidP="00A673F8">
      <w:pPr>
        <w:pStyle w:val="CHNU"/>
      </w:pPr>
      <w:r>
        <w:t>Activity</w:t>
      </w:r>
      <w:r>
        <w:t> </w:t>
      </w:r>
      <w:r>
        <w:rPr>
          <w:lang w:val="en-US"/>
        </w:rPr>
        <w:t> </w:t>
      </w:r>
      <w:r>
        <w:rPr>
          <w:lang w:val="en-US"/>
        </w:rPr>
        <w:t> </w:t>
      </w:r>
      <w:r>
        <w:rPr>
          <w:rStyle w:val="CHNU1"/>
        </w:rPr>
        <w:t>59</w:t>
      </w:r>
    </w:p>
    <w:p w:rsidR="00A673F8" w:rsidRDefault="00A673F8" w:rsidP="00A673F8">
      <w:pPr>
        <w:pStyle w:val="CHTI"/>
      </w:pPr>
      <w:r>
        <w:t xml:space="preserve">Ensuring Validity and Reliability </w:t>
      </w:r>
      <w:r>
        <w:br/>
        <w:t>in Quantitative Research</w:t>
      </w:r>
    </w:p>
    <w:p w:rsidR="00A673F8" w:rsidRDefault="00A673F8" w:rsidP="00A673F8">
      <w:pPr>
        <w:pStyle w:val="H1"/>
        <w:spacing w:before="1920"/>
        <w:rPr>
          <w:rStyle w:val="Bold"/>
          <w:b/>
          <w:bCs/>
        </w:rPr>
      </w:pPr>
      <w:r>
        <w:rPr>
          <w:rStyle w:val="Bold"/>
          <w:b/>
          <w:bCs/>
        </w:rPr>
        <w:t>STUDENT HANDOUT</w:t>
      </w:r>
    </w:p>
    <w:p w:rsidR="00A673F8" w:rsidRDefault="00A673F8" w:rsidP="00A673F8">
      <w:pPr>
        <w:pStyle w:val="TEXT"/>
      </w:pPr>
      <w:r>
        <w:t>Find a research paper, related to your research topic, which reports the results of a quantitative study. As you read through the paper, decide whether the researcher has addressed the validity and reliability issues discussed in this handout. If you think any of this information is missing, or there is not enough evidence for you to make a decision, think about how the researcher could improve their study and/or the type and amount of information provided in the paper.</w:t>
      </w:r>
    </w:p>
    <w:p w:rsidR="00A673F8" w:rsidRDefault="00A673F8" w:rsidP="00A673F8">
      <w:pPr>
        <w:pStyle w:val="TEXTIND"/>
      </w:pPr>
      <w:r>
        <w:t>Look first for ‘validity’. This refers to the accuracy of the measurement, asking whether the tests that have been used by the researcher are measuring what they are supposed to measure. There are different types of validity in quantitative research:</w:t>
      </w:r>
    </w:p>
    <w:p w:rsidR="00A673F8" w:rsidRDefault="003A0CF1" w:rsidP="003A0CF1">
      <w:pPr>
        <w:pStyle w:val="BL"/>
        <w:ind w:left="720" w:hanging="360"/>
      </w:pPr>
      <w:r>
        <w:rPr>
          <w:rFonts w:ascii="Symbol" w:hAnsi="Symbol"/>
        </w:rPr>
        <w:t></w:t>
      </w:r>
      <w:r>
        <w:rPr>
          <w:rFonts w:ascii="Symbol" w:hAnsi="Symbol"/>
        </w:rPr>
        <w:tab/>
      </w:r>
      <w:r w:rsidR="00A673F8">
        <w:t>‘Face validity’ refers to whether the tests that have been performed, or the questions that have been asked, are effective in terms of the stated aims. Are they a reasonable way to obtain the information required? Do they appear to be right?</w:t>
      </w:r>
    </w:p>
    <w:p w:rsidR="00A673F8" w:rsidRDefault="003A0CF1" w:rsidP="003A0CF1">
      <w:pPr>
        <w:pStyle w:val="BL"/>
        <w:ind w:left="720" w:hanging="360"/>
      </w:pPr>
      <w:r>
        <w:rPr>
          <w:rFonts w:ascii="Symbol" w:hAnsi="Symbol"/>
        </w:rPr>
        <w:t></w:t>
      </w:r>
      <w:r>
        <w:rPr>
          <w:rFonts w:ascii="Symbol" w:hAnsi="Symbol"/>
        </w:rPr>
        <w:tab/>
      </w:r>
      <w:r w:rsidR="00A673F8">
        <w:t>‘Content validity’ refers to the extent to which an instrument measures what it purports to measure. Do the questions or tests reflect the research subject, are all issues included and has anything been left out? Is a particular question or test essential, useful or irrelevant?</w:t>
      </w:r>
    </w:p>
    <w:p w:rsidR="00A673F8" w:rsidRDefault="003A0CF1" w:rsidP="003A0CF1">
      <w:pPr>
        <w:pStyle w:val="BL"/>
        <w:ind w:left="720" w:hanging="360"/>
      </w:pPr>
      <w:r>
        <w:rPr>
          <w:rFonts w:ascii="Symbol" w:hAnsi="Symbol"/>
        </w:rPr>
        <w:t></w:t>
      </w:r>
      <w:r>
        <w:rPr>
          <w:rFonts w:ascii="Symbol" w:hAnsi="Symbol"/>
        </w:rPr>
        <w:tab/>
      </w:r>
      <w:r w:rsidR="00A673F8">
        <w:t>‘Construct validity’ refers to how well an instrument measures the intended construct. Are the inferences (made on the basis of this measurement) appropriate? How well does the test or experiment measure up to its claims? Two subtypes of construct validity are:</w:t>
      </w:r>
    </w:p>
    <w:p w:rsidR="00A673F8" w:rsidRDefault="003A0CF1" w:rsidP="003A0CF1">
      <w:pPr>
        <w:pStyle w:val="BLSBL"/>
        <w:spacing w:before="120"/>
        <w:ind w:left="960" w:hanging="360"/>
      </w:pPr>
      <w:proofErr w:type="gramStart"/>
      <w:r w:rsidRPr="003A0CF1">
        <w:rPr>
          <w:rFonts w:ascii="Symbol" w:hAnsi="Symbol" w:cs="Courier New"/>
        </w:rPr>
        <w:t></w:t>
      </w:r>
      <w:proofErr w:type="gramEnd"/>
      <w:r>
        <w:rPr>
          <w:rFonts w:ascii="Courier New" w:hAnsi="Courier New" w:cs="Courier New"/>
        </w:rPr>
        <w:tab/>
      </w:r>
      <w:r w:rsidR="00A673F8">
        <w:t>‘convergent validity’, which refers to the extent to which measures that should be (or are expected to be) related are, in reality, related; and</w:t>
      </w:r>
    </w:p>
    <w:p w:rsidR="00A673F8" w:rsidRDefault="003A0CF1" w:rsidP="003A0CF1">
      <w:pPr>
        <w:pStyle w:val="BLSBL"/>
        <w:ind w:left="960" w:hanging="360"/>
      </w:pPr>
      <w:proofErr w:type="gramStart"/>
      <w:r w:rsidRPr="003A0CF1">
        <w:rPr>
          <w:rFonts w:ascii="Symbol" w:hAnsi="Symbol" w:cs="Courier New"/>
        </w:rPr>
        <w:t></w:t>
      </w:r>
      <w:proofErr w:type="gramEnd"/>
      <w:r>
        <w:rPr>
          <w:rFonts w:ascii="Courier New" w:hAnsi="Courier New" w:cs="Courier New"/>
        </w:rPr>
        <w:tab/>
      </w:r>
      <w:r w:rsidR="00A673F8">
        <w:t>‘discriminant validity’, which refers to the extent to which measures that should be (or are expected to be) unrelated are, in r</w:t>
      </w:r>
      <w:bookmarkStart w:id="0" w:name="_GoBack"/>
      <w:bookmarkEnd w:id="0"/>
      <w:r w:rsidR="00A673F8">
        <w:t>eality, unrelated.</w:t>
      </w:r>
    </w:p>
    <w:p w:rsidR="00A673F8" w:rsidRDefault="003A0CF1" w:rsidP="003A0CF1">
      <w:pPr>
        <w:pStyle w:val="BL"/>
        <w:spacing w:before="120"/>
        <w:ind w:left="720" w:hanging="360"/>
      </w:pPr>
      <w:r>
        <w:rPr>
          <w:rFonts w:ascii="Symbol" w:hAnsi="Symbol"/>
        </w:rPr>
        <w:t></w:t>
      </w:r>
      <w:r>
        <w:rPr>
          <w:rFonts w:ascii="Symbol" w:hAnsi="Symbol"/>
        </w:rPr>
        <w:tab/>
      </w:r>
      <w:r w:rsidR="00A673F8">
        <w:t>‘Internal validity’ refers to how well a test or experiment is performed (including the elimination of bias) and to what extent a causal conclusion is warranted. Are the inferences regarding cause and effect or causal relationships correct and backed up with evidence? Have all confounding variables been eliminated? Are alternative explanations possible?</w:t>
      </w:r>
    </w:p>
    <w:p w:rsidR="00A673F8" w:rsidRDefault="003A0CF1" w:rsidP="003A0CF1">
      <w:pPr>
        <w:pStyle w:val="BL"/>
        <w:ind w:left="720" w:hanging="360"/>
      </w:pPr>
      <w:r>
        <w:rPr>
          <w:rFonts w:ascii="Symbol" w:hAnsi="Symbol"/>
        </w:rPr>
        <w:t></w:t>
      </w:r>
      <w:r>
        <w:rPr>
          <w:rFonts w:ascii="Symbol" w:hAnsi="Symbol"/>
        </w:rPr>
        <w:tab/>
      </w:r>
      <w:r w:rsidR="00A673F8">
        <w:t>‘External validity’ refers to the extent to which the results of a study can be generalized to other situations, settings, populations or over time. Has the study been replicated, perhaps with different subject populations or in different settings? If not, has enough information been provided for others to replicate the study?</w:t>
      </w:r>
    </w:p>
    <w:p w:rsidR="00A673F8" w:rsidRDefault="003A0CF1" w:rsidP="003A0CF1">
      <w:pPr>
        <w:pStyle w:val="BL"/>
        <w:ind w:left="720" w:hanging="360"/>
      </w:pPr>
      <w:r>
        <w:rPr>
          <w:rFonts w:ascii="Symbol" w:hAnsi="Symbol"/>
        </w:rPr>
        <w:t></w:t>
      </w:r>
      <w:r>
        <w:rPr>
          <w:rFonts w:ascii="Symbol" w:hAnsi="Symbol"/>
        </w:rPr>
        <w:tab/>
      </w:r>
      <w:r w:rsidR="00A673F8">
        <w:t>‘Predictive validity’ refers to the extent to which the measure being used can make predictions about something that the measure should be able to predict theoretically (behaviour, performance or outcomes of an experiment, for example). Have predictions been made that are found to be true? Are the research results a useful predictor of the outcome of future experiments or tests?</w:t>
      </w:r>
    </w:p>
    <w:p w:rsidR="00A673F8" w:rsidRDefault="003A0CF1" w:rsidP="003A0CF1">
      <w:pPr>
        <w:pStyle w:val="BL"/>
        <w:ind w:left="720" w:hanging="360"/>
      </w:pPr>
      <w:r>
        <w:rPr>
          <w:rFonts w:ascii="Symbol" w:hAnsi="Symbol"/>
        </w:rPr>
        <w:t></w:t>
      </w:r>
      <w:r>
        <w:rPr>
          <w:rFonts w:ascii="Symbol" w:hAnsi="Symbol"/>
        </w:rPr>
        <w:tab/>
      </w:r>
      <w:r w:rsidR="00A673F8">
        <w:t>‘Concurrent validity’ refers to how well the results of a particular test or measurement correspond to those of a previously established measurement for the same construct. Does the test or measure correlate well with a measure that has been validated previously?</w:t>
      </w:r>
    </w:p>
    <w:p w:rsidR="00A673F8" w:rsidRDefault="00A673F8" w:rsidP="00A673F8">
      <w:pPr>
        <w:pStyle w:val="FL"/>
      </w:pPr>
      <w:r>
        <w:lastRenderedPageBreak/>
        <w:t>Look next for ‘reliability’. This refers to the way that the research instrument is able to yield the same results in repeated trials. It refers to consistency of measurement and asks whether other researchers would get the same results under the same conditions. The following methods can be used to determine the reliability of measurements. As you read through the paper, identify whether any of these tests have taken place. If not, think about what the researcher could do to help you further determine the reliability of their work.</w:t>
      </w:r>
    </w:p>
    <w:p w:rsidR="00A673F8" w:rsidRDefault="003A0CF1" w:rsidP="003A0CF1">
      <w:pPr>
        <w:pStyle w:val="BL"/>
        <w:ind w:left="720" w:hanging="360"/>
        <w:rPr>
          <w:spacing w:val="2"/>
        </w:rPr>
      </w:pPr>
      <w:r>
        <w:rPr>
          <w:rFonts w:ascii="Symbol" w:hAnsi="Symbol"/>
          <w:spacing w:val="2"/>
        </w:rPr>
        <w:t></w:t>
      </w:r>
      <w:r>
        <w:rPr>
          <w:rFonts w:ascii="Symbol" w:hAnsi="Symbol"/>
          <w:spacing w:val="2"/>
        </w:rPr>
        <w:tab/>
      </w:r>
      <w:r w:rsidR="00A673F8">
        <w:rPr>
          <w:spacing w:val="2"/>
        </w:rPr>
        <w:t>‘Inter-</w:t>
      </w:r>
      <w:proofErr w:type="spellStart"/>
      <w:r w:rsidR="00A673F8">
        <w:rPr>
          <w:spacing w:val="2"/>
        </w:rPr>
        <w:t>rater</w:t>
      </w:r>
      <w:proofErr w:type="spellEnd"/>
      <w:r w:rsidR="00A673F8">
        <w:rPr>
          <w:spacing w:val="2"/>
        </w:rPr>
        <w:t xml:space="preserve"> reliability’ (or ‘inter-observer reliability’) is used to show the degree of agreement, or consensus, between different </w:t>
      </w:r>
      <w:proofErr w:type="spellStart"/>
      <w:r w:rsidR="00A673F8">
        <w:rPr>
          <w:spacing w:val="2"/>
        </w:rPr>
        <w:t>raters</w:t>
      </w:r>
      <w:proofErr w:type="spellEnd"/>
      <w:r w:rsidR="00A673F8">
        <w:rPr>
          <w:spacing w:val="2"/>
        </w:rPr>
        <w:t xml:space="preserve"> or observers. It gives a score on how much homogeny or consensus there is and is used to check that scales are not defective, ensure that </w:t>
      </w:r>
      <w:proofErr w:type="spellStart"/>
      <w:r w:rsidR="00A673F8">
        <w:rPr>
          <w:spacing w:val="2"/>
        </w:rPr>
        <w:t>raters</w:t>
      </w:r>
      <w:proofErr w:type="spellEnd"/>
      <w:r w:rsidR="00A673F8">
        <w:rPr>
          <w:spacing w:val="2"/>
        </w:rPr>
        <w:t xml:space="preserve"> are well trained and/or eliminate experimenter bias.</w:t>
      </w:r>
    </w:p>
    <w:p w:rsidR="00A673F8" w:rsidRDefault="003A0CF1" w:rsidP="003A0CF1">
      <w:pPr>
        <w:pStyle w:val="BL"/>
        <w:ind w:left="720" w:hanging="360"/>
      </w:pPr>
      <w:r>
        <w:rPr>
          <w:rFonts w:ascii="Symbol" w:hAnsi="Symbol"/>
        </w:rPr>
        <w:t></w:t>
      </w:r>
      <w:r>
        <w:rPr>
          <w:rFonts w:ascii="Symbol" w:hAnsi="Symbol"/>
        </w:rPr>
        <w:tab/>
      </w:r>
      <w:r w:rsidR="00A673F8">
        <w:t>‘Test–retest reliability’ assesses the consistency of a measure from one time to another. The same test is administered to the same people at two points in time. Results are compared: the closer the scores the more reliable the results.</w:t>
      </w:r>
    </w:p>
    <w:p w:rsidR="00A673F8" w:rsidRDefault="003A0CF1" w:rsidP="003A0CF1">
      <w:pPr>
        <w:pStyle w:val="BL"/>
        <w:ind w:left="720" w:hanging="360"/>
        <w:rPr>
          <w:spacing w:val="-3"/>
        </w:rPr>
      </w:pPr>
      <w:r>
        <w:rPr>
          <w:rFonts w:ascii="Symbol" w:hAnsi="Symbol"/>
          <w:spacing w:val="-3"/>
        </w:rPr>
        <w:t></w:t>
      </w:r>
      <w:r>
        <w:rPr>
          <w:rFonts w:ascii="Symbol" w:hAnsi="Symbol"/>
          <w:spacing w:val="-3"/>
        </w:rPr>
        <w:tab/>
      </w:r>
      <w:r w:rsidR="00A673F8">
        <w:rPr>
          <w:spacing w:val="-3"/>
        </w:rPr>
        <w:t>‘Inter-method reliability’ assesses the degree to which test scores are consistent when there are variations in methods or instruments. For example, ‘parallel form reliability’ requires two sets of different questions on the same construct to be administered to the same sample of people. The correlation between these two sets of questions provides an estimate of reliability.</w:t>
      </w:r>
    </w:p>
    <w:p w:rsidR="00A673F8" w:rsidRDefault="003A0CF1" w:rsidP="003A0CF1">
      <w:pPr>
        <w:pStyle w:val="BL"/>
        <w:ind w:left="720" w:hanging="360"/>
      </w:pPr>
      <w:r>
        <w:rPr>
          <w:rFonts w:ascii="Symbol" w:hAnsi="Symbol"/>
        </w:rPr>
        <w:t></w:t>
      </w:r>
      <w:r>
        <w:rPr>
          <w:rFonts w:ascii="Symbol" w:hAnsi="Symbol"/>
        </w:rPr>
        <w:tab/>
      </w:r>
      <w:r w:rsidR="00A673F8">
        <w:t>‘Internal consistency reliability’ is used to assess the consistency of results across items within a test (on one occasion). It is based on the correlation between different items that propose to measure the same general construct. High scores suggest good internal consistency. ‘Split-half reliability’ is an internal consistency measure. The test is split into two halves, the whole instrument is administered to a sample of people, and the score for each half calculated. The split-half reliability estimate is a correlation between the two scores.</w:t>
      </w:r>
    </w:p>
    <w:p w:rsidR="00A673F8" w:rsidRDefault="00A673F8" w:rsidP="00A673F8">
      <w:pPr>
        <w:pStyle w:val="FL"/>
      </w:pPr>
      <w:r>
        <w:t>If you are intending to produce your own quantitative research, ensure that you address the relevant issues discussed above so that other researchers (and your tutor and examiners) can assess the validity and reliability of your research.</w:t>
      </w:r>
    </w:p>
    <w:p w:rsidR="00A673F8" w:rsidRDefault="00A673F8" w:rsidP="00A673F8">
      <w:pPr>
        <w:pStyle w:val="TEXT"/>
      </w:pPr>
    </w:p>
    <w:p w:rsidR="00A673F8" w:rsidRDefault="00A673F8"/>
    <w:sectPr w:rsidR="00A67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C6B83"/>
    <w:multiLevelType w:val="hybridMultilevel"/>
    <w:tmpl w:val="86A87DFA"/>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2C741EAB"/>
    <w:multiLevelType w:val="hybridMultilevel"/>
    <w:tmpl w:val="856A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A673F8"/>
    <w:rsid w:val="003A0CF1"/>
    <w:rsid w:val="00A673F8"/>
    <w:rsid w:val="00D1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5EFBD-4067-4286-8674-48547D41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A673F8"/>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A673F8"/>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A673F8"/>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A673F8"/>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A673F8"/>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A673F8"/>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BLSBL">
    <w:name w:val="BL_SBL"/>
    <w:basedOn w:val="Normal"/>
    <w:uiPriority w:val="99"/>
    <w:rsid w:val="00A673F8"/>
    <w:pPr>
      <w:widowControl w:val="0"/>
      <w:autoSpaceDE w:val="0"/>
      <w:autoSpaceDN w:val="0"/>
      <w:adjustRightInd w:val="0"/>
      <w:spacing w:after="0" w:line="220" w:lineRule="atLeast"/>
      <w:ind w:left="480" w:hanging="240"/>
      <w:jc w:val="both"/>
      <w:textAlignment w:val="center"/>
    </w:pPr>
    <w:rPr>
      <w:rFonts w:ascii="Interstate-Light" w:eastAsiaTheme="minorEastAsia" w:hAnsi="Interstate-Light" w:cs="Interstate-Light"/>
      <w:color w:val="000000"/>
      <w:sz w:val="17"/>
      <w:szCs w:val="17"/>
    </w:rPr>
  </w:style>
  <w:style w:type="paragraph" w:customStyle="1" w:styleId="FL">
    <w:name w:val="FL"/>
    <w:basedOn w:val="Normal"/>
    <w:uiPriority w:val="99"/>
    <w:rsid w:val="00A673F8"/>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A673F8"/>
  </w:style>
  <w:style w:type="character" w:customStyle="1" w:styleId="Bold">
    <w:name w:val="Bold"/>
    <w:uiPriority w:val="99"/>
    <w:rsid w:val="00A67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2016-08-06T05:30:00Z</dcterms:created>
  <dcterms:modified xsi:type="dcterms:W3CDTF">2016-08-09T08:40:00Z</dcterms:modified>
</cp:coreProperties>
</file>