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2EB" w:rsidRDefault="00EC62EB" w:rsidP="00EC62EB">
      <w:pPr>
        <w:rPr>
          <w:b/>
        </w:rPr>
      </w:pPr>
      <w:r w:rsidRPr="006814A1">
        <w:rPr>
          <w:b/>
        </w:rPr>
        <w:t>Chapter 11</w:t>
      </w:r>
      <w:r>
        <w:rPr>
          <w:b/>
        </w:rPr>
        <w:t xml:space="preserve">: </w:t>
      </w:r>
      <w:r w:rsidRPr="002F01FD">
        <w:rPr>
          <w:b/>
        </w:rPr>
        <w:t>The Architecture of Inequality: Race and Ethnicity</w:t>
      </w:r>
    </w:p>
    <w:p w:rsidR="00EC62EB" w:rsidRDefault="00EC62EB" w:rsidP="00EC62EB">
      <w:pPr>
        <w:rPr>
          <w:b/>
        </w:rPr>
      </w:pPr>
    </w:p>
    <w:p w:rsidR="00EC62EB" w:rsidRDefault="00EC62EB" w:rsidP="00EC62EB">
      <w:r>
        <w:t xml:space="preserve">Discussion Questions: </w:t>
      </w:r>
    </w:p>
    <w:p w:rsidR="00EC62EB" w:rsidRPr="006814A1" w:rsidRDefault="00EC62EB" w:rsidP="00EC62EB">
      <w:pPr>
        <w:numPr>
          <w:ilvl w:val="0"/>
          <w:numId w:val="1"/>
        </w:numPr>
        <w:tabs>
          <w:tab w:val="clear" w:pos="720"/>
          <w:tab w:val="num" w:pos="360"/>
        </w:tabs>
        <w:ind w:left="360"/>
      </w:pPr>
      <w:r w:rsidRPr="006814A1">
        <w:t>What commonalities can you find in how race and ethnicity factor into the construction of identities in the articles?</w:t>
      </w:r>
    </w:p>
    <w:p w:rsidR="00EC62EB" w:rsidRPr="006814A1" w:rsidRDefault="00EC62EB" w:rsidP="00EC62EB"/>
    <w:p w:rsidR="00EC62EB" w:rsidRPr="006814A1" w:rsidRDefault="00EC62EB" w:rsidP="00EC62EB">
      <w:pPr>
        <w:numPr>
          <w:ilvl w:val="0"/>
          <w:numId w:val="1"/>
        </w:numPr>
        <w:tabs>
          <w:tab w:val="clear" w:pos="720"/>
          <w:tab w:val="num" w:pos="360"/>
        </w:tabs>
        <w:ind w:left="360"/>
      </w:pPr>
      <w:r w:rsidRPr="006814A1">
        <w:t>Can you find examples of quiet racism in these articles?  What are they?</w:t>
      </w:r>
    </w:p>
    <w:p w:rsidR="00EC62EB" w:rsidRPr="006814A1" w:rsidRDefault="00EC62EB" w:rsidP="00EC62EB"/>
    <w:p w:rsidR="00EC62EB" w:rsidRPr="006814A1" w:rsidRDefault="00EC62EB" w:rsidP="00EC62EB">
      <w:pPr>
        <w:numPr>
          <w:ilvl w:val="0"/>
          <w:numId w:val="1"/>
        </w:numPr>
        <w:tabs>
          <w:tab w:val="clear" w:pos="720"/>
          <w:tab w:val="num" w:pos="360"/>
        </w:tabs>
        <w:ind w:left="360"/>
      </w:pPr>
      <w:r w:rsidRPr="006814A1">
        <w:t xml:space="preserve">Does racial transparency play a part in any of the articles presented?   </w:t>
      </w:r>
    </w:p>
    <w:p w:rsidR="00EC62EB" w:rsidRPr="00EE5610" w:rsidRDefault="00EC62EB" w:rsidP="00EC62EB"/>
    <w:p w:rsidR="00EC62EB" w:rsidRPr="006814A1" w:rsidRDefault="00EC62EB" w:rsidP="00EC62EB">
      <w:pPr>
        <w:rPr>
          <w:szCs w:val="20"/>
        </w:rPr>
      </w:pPr>
    </w:p>
    <w:p w:rsidR="00EC62EB" w:rsidRPr="006814A1" w:rsidRDefault="00EC62EB" w:rsidP="00EC62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roofErr w:type="spellStart"/>
      <w:r w:rsidRPr="006814A1">
        <w:t>Lelia</w:t>
      </w:r>
      <w:proofErr w:type="spellEnd"/>
      <w:r w:rsidRPr="006814A1">
        <w:t xml:space="preserve"> </w:t>
      </w:r>
      <w:proofErr w:type="spellStart"/>
      <w:r w:rsidRPr="006814A1">
        <w:t>Lomba</w:t>
      </w:r>
      <w:proofErr w:type="spellEnd"/>
      <w:r w:rsidRPr="006814A1">
        <w:t xml:space="preserve"> </w:t>
      </w:r>
      <w:proofErr w:type="spellStart"/>
      <w:r w:rsidRPr="006814A1">
        <w:t>DeAndrade</w:t>
      </w:r>
      <w:proofErr w:type="spellEnd"/>
      <w:r w:rsidRPr="006814A1">
        <w:t xml:space="preserve">  </w:t>
      </w:r>
    </w:p>
    <w:p w:rsidR="00EC62EB" w:rsidRPr="006814A1" w:rsidRDefault="00D81FA8" w:rsidP="00EC62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18"/>
        </w:rPr>
      </w:pPr>
      <w:r w:rsidRPr="00D81FA8">
        <w:rPr>
          <w:szCs w:val="36"/>
        </w:rPr>
        <w:t xml:space="preserve">Negotiating from the Inside: </w:t>
      </w:r>
      <w:r w:rsidRPr="00D81FA8">
        <w:rPr>
          <w:szCs w:val="18"/>
        </w:rPr>
        <w:t>Constructing Racial and Ethnic Identity in Qualitative Research</w:t>
      </w:r>
    </w:p>
    <w:p w:rsidR="00EC62EB" w:rsidRDefault="00EC62EB" w:rsidP="00EC62EB">
      <w:pPr>
        <w:rPr>
          <w:szCs w:val="20"/>
        </w:rPr>
      </w:pPr>
      <w:r w:rsidRPr="006814A1">
        <w:rPr>
          <w:szCs w:val="20"/>
        </w:rPr>
        <w:t>Journal of Contemporary Ethnography, Vol. 29, No. 3, 268-290 (2000)</w:t>
      </w:r>
    </w:p>
    <w:p w:rsidR="00D81FA8" w:rsidRPr="006814A1" w:rsidRDefault="00D81FA8" w:rsidP="00EC62EB">
      <w:hyperlink r:id="rId5" w:history="1">
        <w:r>
          <w:rPr>
            <w:rStyle w:val="Hyperlink"/>
          </w:rPr>
          <w:t>http://jce.sagepub.com/cgi/reprint/29/3/268?ijkey=.1qSUDyVBGiuA&amp;keytype=ref&amp;siteid=spjce</w:t>
        </w:r>
      </w:hyperlink>
    </w:p>
    <w:p w:rsidR="00EC62EB" w:rsidRPr="00EE5610" w:rsidRDefault="00EC62EB" w:rsidP="00EC62EB">
      <w:pPr>
        <w:rPr>
          <w:b/>
        </w:rPr>
      </w:pPr>
      <w:r>
        <w:rPr>
          <w:b/>
        </w:rPr>
        <w:t xml:space="preserve">Abstract: </w:t>
      </w:r>
    </w:p>
    <w:p w:rsidR="00EC62EB" w:rsidRPr="006814A1" w:rsidRDefault="00EC62EB" w:rsidP="00EC62EB">
      <w:r w:rsidRPr="006814A1">
        <w:t>This article provides a critical analysis of the role</w:t>
      </w:r>
      <w:r w:rsidRPr="006814A1">
        <w:rPr>
          <w:szCs w:val="20"/>
        </w:rPr>
        <w:t xml:space="preserve"> </w:t>
      </w:r>
      <w:r w:rsidRPr="006814A1">
        <w:t>of the "insider" researcher in qualitative fieldwork in race</w:t>
      </w:r>
      <w:r w:rsidRPr="006814A1">
        <w:rPr>
          <w:szCs w:val="20"/>
        </w:rPr>
        <w:t xml:space="preserve"> </w:t>
      </w:r>
      <w:r w:rsidRPr="006814A1">
        <w:t>and ethnicity. The analysis is based on research conducted on</w:t>
      </w:r>
      <w:r w:rsidRPr="006814A1">
        <w:rPr>
          <w:szCs w:val="20"/>
        </w:rPr>
        <w:t xml:space="preserve"> </w:t>
      </w:r>
      <w:r w:rsidRPr="006814A1">
        <w:t>the construction of racial and ethnic identity in the Cape Verdean</w:t>
      </w:r>
      <w:r w:rsidRPr="006814A1">
        <w:rPr>
          <w:szCs w:val="20"/>
        </w:rPr>
        <w:t xml:space="preserve"> </w:t>
      </w:r>
      <w:r w:rsidRPr="006814A1">
        <w:t>American community of southeastern New England. Reflections</w:t>
      </w:r>
      <w:r w:rsidRPr="006814A1">
        <w:rPr>
          <w:szCs w:val="20"/>
        </w:rPr>
        <w:t xml:space="preserve"> </w:t>
      </w:r>
      <w:r w:rsidRPr="006814A1">
        <w:t>are presented on the various ways that the researcher's status</w:t>
      </w:r>
      <w:r w:rsidRPr="006814A1">
        <w:rPr>
          <w:szCs w:val="20"/>
        </w:rPr>
        <w:t xml:space="preserve"> </w:t>
      </w:r>
      <w:r w:rsidRPr="006814A1">
        <w:t>as an "insider" was evaluated and negotiated during fieldwork.</w:t>
      </w:r>
      <w:r w:rsidRPr="006814A1">
        <w:rPr>
          <w:szCs w:val="20"/>
        </w:rPr>
        <w:t xml:space="preserve"> </w:t>
      </w:r>
      <w:r w:rsidRPr="006814A1">
        <w:t>It is suggested that these negotiations reveal the manner in</w:t>
      </w:r>
      <w:r w:rsidRPr="006814A1">
        <w:rPr>
          <w:szCs w:val="20"/>
        </w:rPr>
        <w:t xml:space="preserve"> </w:t>
      </w:r>
      <w:r w:rsidRPr="006814A1">
        <w:t>which group members define the boundaries of the group, the</w:t>
      </w:r>
      <w:r w:rsidRPr="006814A1">
        <w:rPr>
          <w:szCs w:val="20"/>
        </w:rPr>
        <w:t xml:space="preserve"> </w:t>
      </w:r>
      <w:r w:rsidRPr="006814A1">
        <w:t>attributes they associate with it, and the meaning of the group</w:t>
      </w:r>
      <w:r w:rsidRPr="006814A1">
        <w:rPr>
          <w:szCs w:val="20"/>
        </w:rPr>
        <w:t xml:space="preserve"> </w:t>
      </w:r>
      <w:r w:rsidRPr="006814A1">
        <w:t>itself. This interpretation of insider status, as involving</w:t>
      </w:r>
      <w:r w:rsidRPr="006814A1">
        <w:rPr>
          <w:szCs w:val="20"/>
        </w:rPr>
        <w:t xml:space="preserve"> </w:t>
      </w:r>
      <w:r w:rsidRPr="006814A1">
        <w:t>complex and ongoing definitions and negotiations of group membership,</w:t>
      </w:r>
      <w:r w:rsidRPr="006814A1">
        <w:rPr>
          <w:szCs w:val="20"/>
        </w:rPr>
        <w:t xml:space="preserve"> </w:t>
      </w:r>
      <w:r w:rsidRPr="006814A1">
        <w:t>highlights the way that researchers and participants are simultaneously</w:t>
      </w:r>
      <w:r w:rsidRPr="006814A1">
        <w:rPr>
          <w:szCs w:val="20"/>
        </w:rPr>
        <w:t xml:space="preserve"> </w:t>
      </w:r>
      <w:r w:rsidRPr="006814A1">
        <w:t>engaged in the construction of race and ethnicity.</w:t>
      </w:r>
    </w:p>
    <w:p w:rsidR="00EC62EB" w:rsidRDefault="00EC62EB" w:rsidP="00EC62EB">
      <w:pPr>
        <w:rPr>
          <w:rFonts w:ascii="Arial-ItalicMT" w:hAnsi="Arial-ItalicMT"/>
        </w:rPr>
      </w:pPr>
    </w:p>
    <w:p w:rsidR="00EC62EB" w:rsidRDefault="00EC62EB" w:rsidP="00EC62EB">
      <w:pPr>
        <w:jc w:val="center"/>
        <w:rPr>
          <w:rFonts w:ascii="Arial-ItalicMT" w:hAnsi="Arial-ItalicMT"/>
        </w:rPr>
      </w:pPr>
      <w:r>
        <w:rPr>
          <w:rFonts w:ascii="Arial-ItalicMT" w:hAnsi="Arial-ItalicMT"/>
        </w:rPr>
        <w:t>***</w:t>
      </w:r>
    </w:p>
    <w:p w:rsidR="00EC62EB" w:rsidRPr="006814A1" w:rsidRDefault="00EC62EB" w:rsidP="00EC62EB"/>
    <w:p w:rsidR="00EC62EB" w:rsidRPr="006814A1" w:rsidRDefault="00EC62EB" w:rsidP="00EC62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 xml:space="preserve">David S. Sizemore </w:t>
      </w:r>
    </w:p>
    <w:p w:rsidR="00EC62EB" w:rsidRPr="006814A1" w:rsidRDefault="00EC62EB" w:rsidP="00EC62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18"/>
        </w:rPr>
      </w:pPr>
      <w:r w:rsidRPr="00D81FA8">
        <w:rPr>
          <w:szCs w:val="36"/>
        </w:rPr>
        <w:t xml:space="preserve">Ethnic Inclusion and Exclusion: </w:t>
      </w:r>
      <w:r w:rsidRPr="00D81FA8">
        <w:rPr>
          <w:szCs w:val="18"/>
        </w:rPr>
        <w:t>Managing the Language of Hispanic Integration in a Rural Community</w:t>
      </w:r>
    </w:p>
    <w:p w:rsidR="00EC62EB" w:rsidRDefault="00EC62EB" w:rsidP="00EC62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Journal of Contemporary Ethnography, Vol. 33, No. 5, 534-570 (2004)</w:t>
      </w:r>
    </w:p>
    <w:p w:rsidR="00D81FA8" w:rsidRPr="006814A1" w:rsidRDefault="00D81FA8" w:rsidP="00EC62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hyperlink r:id="rId6" w:history="1">
        <w:r>
          <w:rPr>
            <w:rStyle w:val="Hyperlink"/>
          </w:rPr>
          <w:t>http://jce.sagepub.com/cgi/reprint/33/5/534?ijkey=uZmPI31y9u3EQ&amp;keytype=ref&amp;siteid=spjce</w:t>
        </w:r>
      </w:hyperlink>
    </w:p>
    <w:p w:rsidR="00EC62EB" w:rsidRPr="00EE5610" w:rsidRDefault="00EC62EB" w:rsidP="00EC62EB">
      <w:pPr>
        <w:rPr>
          <w:b/>
        </w:rPr>
      </w:pPr>
      <w:r>
        <w:rPr>
          <w:b/>
        </w:rPr>
        <w:t xml:space="preserve">Abstract: </w:t>
      </w:r>
    </w:p>
    <w:p w:rsidR="00EC62EB" w:rsidRPr="006814A1" w:rsidRDefault="00EC62EB" w:rsidP="00EC62EB">
      <w:r w:rsidRPr="006814A1">
        <w:t>This article is part of a larger qualitative project on the</w:t>
      </w:r>
      <w:r w:rsidRPr="006814A1">
        <w:rPr>
          <w:szCs w:val="20"/>
        </w:rPr>
        <w:t xml:space="preserve"> </w:t>
      </w:r>
      <w:r w:rsidRPr="006814A1">
        <w:t>processes of Hispanic social integration in a rural Southern</w:t>
      </w:r>
      <w:r w:rsidRPr="006814A1">
        <w:rPr>
          <w:szCs w:val="20"/>
        </w:rPr>
        <w:t xml:space="preserve"> </w:t>
      </w:r>
      <w:r w:rsidRPr="006814A1">
        <w:t>Illinois community. Findings indicate that Anglo insiders and</w:t>
      </w:r>
      <w:r w:rsidRPr="006814A1">
        <w:rPr>
          <w:szCs w:val="20"/>
        </w:rPr>
        <w:t xml:space="preserve"> </w:t>
      </w:r>
      <w:r w:rsidRPr="006814A1">
        <w:t>outsiders describe the changes associated with Hispanic settlement</w:t>
      </w:r>
      <w:r w:rsidRPr="006814A1">
        <w:rPr>
          <w:szCs w:val="20"/>
        </w:rPr>
        <w:t xml:space="preserve"> </w:t>
      </w:r>
      <w:r w:rsidRPr="006814A1">
        <w:t>by using a dualistic language of ethnocentrism and paternalism.</w:t>
      </w:r>
      <w:r w:rsidRPr="006814A1">
        <w:rPr>
          <w:szCs w:val="20"/>
        </w:rPr>
        <w:t xml:space="preserve"> </w:t>
      </w:r>
      <w:r w:rsidRPr="006814A1">
        <w:t>I suggest that the discourse of inclusion is double edged because</w:t>
      </w:r>
      <w:r w:rsidRPr="006814A1">
        <w:rPr>
          <w:szCs w:val="20"/>
        </w:rPr>
        <w:t xml:space="preserve"> </w:t>
      </w:r>
      <w:r w:rsidRPr="006814A1">
        <w:t>(1) it treads lightly on the sensitive nature of interethnic</w:t>
      </w:r>
      <w:r w:rsidRPr="006814A1">
        <w:rPr>
          <w:szCs w:val="20"/>
        </w:rPr>
        <w:t xml:space="preserve"> </w:t>
      </w:r>
      <w:r w:rsidRPr="006814A1">
        <w:t>relations so that no one is offended, yet (2) it allows for</w:t>
      </w:r>
      <w:r w:rsidRPr="006814A1">
        <w:rPr>
          <w:szCs w:val="20"/>
        </w:rPr>
        <w:t xml:space="preserve"> </w:t>
      </w:r>
      <w:r w:rsidRPr="006814A1">
        <w:t>the sentiment, especially among Anglos, that this is "our country"</w:t>
      </w:r>
      <w:r w:rsidRPr="006814A1">
        <w:rPr>
          <w:szCs w:val="20"/>
        </w:rPr>
        <w:t xml:space="preserve"> </w:t>
      </w:r>
      <w:r w:rsidRPr="006814A1">
        <w:t>and Hispanics should "fit-in." A complex language of quasi-ethnocentrism</w:t>
      </w:r>
      <w:r w:rsidRPr="006814A1">
        <w:rPr>
          <w:szCs w:val="20"/>
        </w:rPr>
        <w:t xml:space="preserve"> </w:t>
      </w:r>
      <w:r w:rsidRPr="006814A1">
        <w:t>is in operation that allows for Hispanic incorporation but only</w:t>
      </w:r>
      <w:r w:rsidRPr="006814A1">
        <w:rPr>
          <w:szCs w:val="20"/>
        </w:rPr>
        <w:t xml:space="preserve"> </w:t>
      </w:r>
      <w:r w:rsidRPr="006814A1">
        <w:t>to the extent that it is "fair" and not based on "special" ethnic</w:t>
      </w:r>
      <w:r w:rsidRPr="006814A1">
        <w:rPr>
          <w:szCs w:val="20"/>
        </w:rPr>
        <w:t xml:space="preserve"> </w:t>
      </w:r>
      <w:r w:rsidRPr="006814A1">
        <w:t>considerations. Building on critical race theory and other linguistic</w:t>
      </w:r>
      <w:r w:rsidRPr="006814A1">
        <w:rPr>
          <w:szCs w:val="20"/>
        </w:rPr>
        <w:t xml:space="preserve"> </w:t>
      </w:r>
      <w:r w:rsidRPr="006814A1">
        <w:t>frameworks, several theoretical approaches are employed to understand</w:t>
      </w:r>
      <w:r w:rsidRPr="006814A1">
        <w:rPr>
          <w:szCs w:val="20"/>
        </w:rPr>
        <w:t xml:space="preserve"> </w:t>
      </w:r>
      <w:r w:rsidRPr="006814A1">
        <w:t>the relationship between normative exclusion, language, paternalism,</w:t>
      </w:r>
      <w:r w:rsidRPr="006814A1">
        <w:rPr>
          <w:szCs w:val="20"/>
        </w:rPr>
        <w:t xml:space="preserve"> </w:t>
      </w:r>
      <w:r w:rsidRPr="006814A1">
        <w:t>and ethnicity.</w:t>
      </w:r>
    </w:p>
    <w:p w:rsidR="00EC62EB" w:rsidRDefault="00EC62EB" w:rsidP="00EC62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EC62EB" w:rsidRDefault="00EC62EB" w:rsidP="00EC62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Cs w:val="20"/>
        </w:rPr>
      </w:pPr>
      <w:r>
        <w:rPr>
          <w:szCs w:val="20"/>
        </w:rPr>
        <w:lastRenderedPageBreak/>
        <w:t>***</w:t>
      </w:r>
    </w:p>
    <w:p w:rsidR="00EC62EB" w:rsidRPr="006814A1" w:rsidRDefault="00EC62EB" w:rsidP="00EC62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EC62EB" w:rsidRPr="006814A1" w:rsidRDefault="00EC62EB" w:rsidP="00EC62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 xml:space="preserve">Pamela Perry  </w:t>
      </w:r>
    </w:p>
    <w:p w:rsidR="00EC62EB" w:rsidRPr="006814A1" w:rsidRDefault="00EC62EB" w:rsidP="00EC62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18"/>
        </w:rPr>
      </w:pPr>
      <w:r w:rsidRPr="00D81FA8">
        <w:rPr>
          <w:szCs w:val="36"/>
        </w:rPr>
        <w:t xml:space="preserve">White Means Never Having to Say </w:t>
      </w:r>
      <w:proofErr w:type="gramStart"/>
      <w:r w:rsidRPr="00D81FA8">
        <w:rPr>
          <w:szCs w:val="36"/>
        </w:rPr>
        <w:t>You're</w:t>
      </w:r>
      <w:proofErr w:type="gramEnd"/>
      <w:r w:rsidRPr="00D81FA8">
        <w:rPr>
          <w:szCs w:val="36"/>
        </w:rPr>
        <w:t xml:space="preserve"> Ethnic: </w:t>
      </w:r>
      <w:r w:rsidRPr="00D81FA8">
        <w:rPr>
          <w:szCs w:val="18"/>
        </w:rPr>
        <w:t>White Youth and the Construction of "Cultureless" Identities</w:t>
      </w:r>
    </w:p>
    <w:p w:rsidR="00EC62EB" w:rsidRDefault="00EC62EB" w:rsidP="00EC62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Journal of Contemporary Ethnography, Vol. 30, No. 1, 56-91 (2001)</w:t>
      </w:r>
    </w:p>
    <w:p w:rsidR="00D81FA8" w:rsidRPr="006814A1" w:rsidRDefault="00D81FA8" w:rsidP="00EC62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hyperlink r:id="rId7" w:history="1">
        <w:r>
          <w:rPr>
            <w:rStyle w:val="Hyperlink"/>
          </w:rPr>
          <w:t>http://jce.sagepub.com/cgi/reprint/30/1/56?ijkey=hL7gRVtzR7IXE&amp;keytype=ref&amp;siteid=spjce</w:t>
        </w:r>
      </w:hyperlink>
    </w:p>
    <w:p w:rsidR="00EC62EB" w:rsidRPr="00EE5610" w:rsidRDefault="00EC62EB" w:rsidP="00EC62EB">
      <w:pPr>
        <w:rPr>
          <w:b/>
        </w:rPr>
      </w:pPr>
      <w:r>
        <w:rPr>
          <w:b/>
        </w:rPr>
        <w:t xml:space="preserve">Abstract: </w:t>
      </w:r>
    </w:p>
    <w:p w:rsidR="00EC62EB" w:rsidRPr="006814A1" w:rsidRDefault="00EC62EB" w:rsidP="00EC62EB">
      <w:r w:rsidRPr="006814A1">
        <w:t>This article examines the processes by which white</w:t>
      </w:r>
      <w:r w:rsidRPr="006814A1">
        <w:rPr>
          <w:szCs w:val="20"/>
        </w:rPr>
        <w:t xml:space="preserve"> </w:t>
      </w:r>
      <w:r w:rsidRPr="006814A1">
        <w:t>identities are constructed as "cultureless" among white youth</w:t>
      </w:r>
      <w:r w:rsidRPr="006814A1">
        <w:rPr>
          <w:szCs w:val="20"/>
        </w:rPr>
        <w:t xml:space="preserve"> </w:t>
      </w:r>
      <w:r w:rsidRPr="006814A1">
        <w:t>in two high schools: one predominantly white, the other multiracial.</w:t>
      </w:r>
      <w:r w:rsidRPr="006814A1">
        <w:rPr>
          <w:szCs w:val="20"/>
        </w:rPr>
        <w:t xml:space="preserve"> </w:t>
      </w:r>
      <w:r w:rsidRPr="006814A1">
        <w:t>The author proposes that whites assert racial superiority by</w:t>
      </w:r>
      <w:r w:rsidRPr="006814A1">
        <w:rPr>
          <w:szCs w:val="20"/>
        </w:rPr>
        <w:t xml:space="preserve"> </w:t>
      </w:r>
      <w:r w:rsidRPr="006814A1">
        <w:t>claiming they have no culture because to be cultureless implies</w:t>
      </w:r>
      <w:r w:rsidRPr="006814A1">
        <w:rPr>
          <w:szCs w:val="20"/>
        </w:rPr>
        <w:t xml:space="preserve"> </w:t>
      </w:r>
      <w:r w:rsidRPr="006814A1">
        <w:t>that one is either the "norm" (the standard by which others</w:t>
      </w:r>
      <w:r w:rsidRPr="006814A1">
        <w:rPr>
          <w:szCs w:val="20"/>
        </w:rPr>
        <w:t xml:space="preserve"> </w:t>
      </w:r>
      <w:r w:rsidRPr="006814A1">
        <w:t>are judged) or "rational" (developmentally advanced). Drawing</w:t>
      </w:r>
      <w:r w:rsidRPr="006814A1">
        <w:rPr>
          <w:szCs w:val="20"/>
        </w:rPr>
        <w:t xml:space="preserve"> </w:t>
      </w:r>
      <w:r w:rsidRPr="006814A1">
        <w:t>on ethnographic research and in-depth interviews, the author</w:t>
      </w:r>
      <w:r w:rsidRPr="006814A1">
        <w:rPr>
          <w:szCs w:val="20"/>
        </w:rPr>
        <w:t xml:space="preserve"> </w:t>
      </w:r>
      <w:r w:rsidRPr="006814A1">
        <w:t>argues that in the majority-white school, processes of naturalization—the</w:t>
      </w:r>
      <w:r w:rsidRPr="006814A1">
        <w:rPr>
          <w:szCs w:val="20"/>
        </w:rPr>
        <w:t xml:space="preserve"> </w:t>
      </w:r>
      <w:r w:rsidRPr="006814A1">
        <w:t>embedding of historically constituted practices in what feels</w:t>
      </w:r>
      <w:r w:rsidRPr="006814A1">
        <w:rPr>
          <w:szCs w:val="20"/>
        </w:rPr>
        <w:t xml:space="preserve"> </w:t>
      </w:r>
      <w:r w:rsidRPr="006814A1">
        <w:t>"normal" and natural—produced feelings of cultural lack</w:t>
      </w:r>
      <w:r w:rsidRPr="006814A1">
        <w:rPr>
          <w:szCs w:val="20"/>
        </w:rPr>
        <w:t xml:space="preserve"> </w:t>
      </w:r>
      <w:r w:rsidRPr="006814A1">
        <w:t>among white students. Contrarily, at the multiracial school,</w:t>
      </w:r>
      <w:r w:rsidRPr="006814A1">
        <w:rPr>
          <w:szCs w:val="20"/>
        </w:rPr>
        <w:t xml:space="preserve"> </w:t>
      </w:r>
      <w:r w:rsidRPr="006814A1">
        <w:t>tracking and add-on multiculturalism helped constitute cultureless</w:t>
      </w:r>
      <w:r w:rsidRPr="006814A1">
        <w:rPr>
          <w:szCs w:val="20"/>
        </w:rPr>
        <w:t xml:space="preserve"> </w:t>
      </w:r>
      <w:r w:rsidRPr="006814A1">
        <w:t>identities through processes of rationalization—the embedding</w:t>
      </w:r>
      <w:r w:rsidRPr="006814A1">
        <w:rPr>
          <w:szCs w:val="20"/>
        </w:rPr>
        <w:t xml:space="preserve"> </w:t>
      </w:r>
      <w:r w:rsidRPr="006814A1">
        <w:t>of whiteness within a Western rational paradigm that subordinates</w:t>
      </w:r>
      <w:r w:rsidRPr="006814A1">
        <w:rPr>
          <w:szCs w:val="20"/>
        </w:rPr>
        <w:t xml:space="preserve"> </w:t>
      </w:r>
      <w:r w:rsidRPr="006814A1">
        <w:t>all things cultural. The implications of these findings for</w:t>
      </w:r>
      <w:r w:rsidRPr="006814A1">
        <w:rPr>
          <w:szCs w:val="20"/>
        </w:rPr>
        <w:t xml:space="preserve"> </w:t>
      </w:r>
      <w:r w:rsidRPr="006814A1">
        <w:t>critical white studies, sociology of education, and racial identity</w:t>
      </w:r>
      <w:r w:rsidRPr="006814A1">
        <w:rPr>
          <w:szCs w:val="20"/>
        </w:rPr>
        <w:t xml:space="preserve"> </w:t>
      </w:r>
      <w:r w:rsidRPr="006814A1">
        <w:t>formation are discussed.</w:t>
      </w:r>
    </w:p>
    <w:p w:rsidR="00EC62EB" w:rsidRDefault="00EC62EB" w:rsidP="00EC62EB">
      <w:pPr>
        <w:rPr>
          <w:rFonts w:ascii="Arial-ItalicMT" w:hAnsi="Arial-ItalicMT"/>
        </w:rPr>
      </w:pPr>
    </w:p>
    <w:p w:rsidR="00EC62EB" w:rsidRDefault="00EC62EB" w:rsidP="00EC62EB">
      <w:pPr>
        <w:jc w:val="center"/>
        <w:rPr>
          <w:rFonts w:ascii="Arial-ItalicMT" w:hAnsi="Arial-ItalicMT"/>
        </w:rPr>
      </w:pPr>
      <w:r>
        <w:rPr>
          <w:rFonts w:ascii="Arial-ItalicMT" w:hAnsi="Arial-ItalicMT"/>
        </w:rPr>
        <w:t>***</w:t>
      </w:r>
    </w:p>
    <w:p w:rsidR="00EC62EB" w:rsidRPr="006814A1" w:rsidRDefault="00EC62EB" w:rsidP="00EC62EB"/>
    <w:p w:rsidR="00EC62EB" w:rsidRPr="006814A1" w:rsidRDefault="00EC62EB" w:rsidP="00EC62EB">
      <w:r w:rsidRPr="006814A1">
        <w:t>Rainier Spencer</w:t>
      </w:r>
    </w:p>
    <w:p w:rsidR="00EC62EB" w:rsidRPr="006814A1" w:rsidRDefault="00EC62EB" w:rsidP="00EC62EB">
      <w:r w:rsidRPr="00D81FA8">
        <w:t>Assessing Multiracial Iden</w:t>
      </w:r>
      <w:r w:rsidRPr="00D81FA8">
        <w:t>t</w:t>
      </w:r>
      <w:r w:rsidRPr="00D81FA8">
        <w:t>ity Theory and Politics</w:t>
      </w:r>
    </w:p>
    <w:p w:rsidR="00EC62EB" w:rsidRDefault="00EC62EB" w:rsidP="00EC62EB">
      <w:pPr>
        <w:rPr>
          <w:rStyle w:val="Emphasis"/>
        </w:rPr>
      </w:pPr>
      <w:r w:rsidRPr="006814A1">
        <w:rPr>
          <w:rStyle w:val="Emphasis"/>
        </w:rPr>
        <w:t>Ethnicities, Vol. 4, 357 – 379 (2004)</w:t>
      </w:r>
    </w:p>
    <w:p w:rsidR="00D81FA8" w:rsidRPr="006814A1" w:rsidRDefault="00D81FA8" w:rsidP="00EC62EB">
      <w:pPr>
        <w:rPr>
          <w:i/>
        </w:rPr>
      </w:pPr>
      <w:hyperlink r:id="rId8" w:history="1">
        <w:r>
          <w:rPr>
            <w:rStyle w:val="Hyperlink"/>
          </w:rPr>
          <w:t>http://etn.sagepub.com/cgi/reprint/4/3/357?ijkey=uSYNAHSAAzYLY&amp;keytype=ref&amp;siteid=spetn</w:t>
        </w:r>
      </w:hyperlink>
    </w:p>
    <w:p w:rsidR="00EC62EB" w:rsidRPr="00EE5610" w:rsidRDefault="00EC62EB" w:rsidP="00EC62EB">
      <w:pPr>
        <w:rPr>
          <w:b/>
        </w:rPr>
      </w:pPr>
      <w:r>
        <w:rPr>
          <w:b/>
        </w:rPr>
        <w:t xml:space="preserve">Abstract: </w:t>
      </w:r>
    </w:p>
    <w:p w:rsidR="00EC62EB" w:rsidRPr="006814A1" w:rsidRDefault="00EC62EB" w:rsidP="00EC62EB">
      <w:r w:rsidRPr="006814A1">
        <w:t>It is increasingly possible to detect a split in regard to current</w:t>
      </w:r>
      <w:r w:rsidRPr="006814A1">
        <w:rPr>
          <w:vertAlign w:val="superscript"/>
        </w:rPr>
        <w:t xml:space="preserve"> </w:t>
      </w:r>
      <w:r w:rsidRPr="006814A1">
        <w:t>analyses of multiracial identity in the United</w:t>
      </w:r>
      <w:r w:rsidRPr="006814A1">
        <w:rPr>
          <w:vertAlign w:val="superscript"/>
        </w:rPr>
        <w:t xml:space="preserve"> </w:t>
      </w:r>
      <w:r w:rsidRPr="006814A1">
        <w:t>States. On the one hand there remains a relatively</w:t>
      </w:r>
      <w:r w:rsidRPr="006814A1">
        <w:rPr>
          <w:vertAlign w:val="superscript"/>
        </w:rPr>
        <w:t xml:space="preserve"> </w:t>
      </w:r>
      <w:r w:rsidRPr="006814A1">
        <w:t>naive brand of multiracial activism and identity politics</w:t>
      </w:r>
      <w:r w:rsidRPr="006814A1">
        <w:rPr>
          <w:vertAlign w:val="superscript"/>
        </w:rPr>
        <w:t xml:space="preserve"> </w:t>
      </w:r>
      <w:r w:rsidRPr="006814A1">
        <w:t>that has deep roots in the recent movement to</w:t>
      </w:r>
      <w:r w:rsidRPr="006814A1">
        <w:rPr>
          <w:vertAlign w:val="superscript"/>
        </w:rPr>
        <w:t xml:space="preserve"> </w:t>
      </w:r>
      <w:r w:rsidRPr="006814A1">
        <w:t>institute a US federal multiracial category;</w:t>
      </w:r>
      <w:r w:rsidRPr="006814A1">
        <w:rPr>
          <w:vertAlign w:val="superscript"/>
        </w:rPr>
        <w:t xml:space="preserve"> </w:t>
      </w:r>
      <w:r w:rsidRPr="006814A1">
        <w:t>while on the other hand we find a steadily maturing body of</w:t>
      </w:r>
      <w:r w:rsidRPr="006814A1">
        <w:rPr>
          <w:vertAlign w:val="superscript"/>
        </w:rPr>
        <w:t xml:space="preserve"> </w:t>
      </w:r>
      <w:r w:rsidRPr="006814A1">
        <w:t>scholarship on mixed-race identity that is several</w:t>
      </w:r>
      <w:r w:rsidRPr="006814A1">
        <w:rPr>
          <w:vertAlign w:val="superscript"/>
        </w:rPr>
        <w:t xml:space="preserve"> </w:t>
      </w:r>
      <w:r w:rsidRPr="006814A1">
        <w:t>levels removed in terms of intellectual rigor and objectivity. As this latter movement continues to mature,</w:t>
      </w:r>
      <w:r w:rsidRPr="006814A1">
        <w:rPr>
          <w:vertAlign w:val="superscript"/>
        </w:rPr>
        <w:t xml:space="preserve"> </w:t>
      </w:r>
      <w:r w:rsidRPr="006814A1">
        <w:t>it increasingly forces the former to acknowledge</w:t>
      </w:r>
      <w:r w:rsidRPr="006814A1">
        <w:rPr>
          <w:vertAlign w:val="superscript"/>
        </w:rPr>
        <w:t xml:space="preserve"> </w:t>
      </w:r>
      <w:r w:rsidRPr="006814A1">
        <w:t>and to confront important issues of logical consistency in the multiracial identity debate. This article</w:t>
      </w:r>
      <w:r w:rsidRPr="006814A1">
        <w:rPr>
          <w:vertAlign w:val="superscript"/>
        </w:rPr>
        <w:t xml:space="preserve"> </w:t>
      </w:r>
      <w:r w:rsidRPr="006814A1">
        <w:t>represents an effort to guide and shape that</w:t>
      </w:r>
      <w:r w:rsidRPr="006814A1">
        <w:rPr>
          <w:vertAlign w:val="superscript"/>
        </w:rPr>
        <w:t xml:space="preserve"> </w:t>
      </w:r>
      <w:r w:rsidRPr="006814A1">
        <w:t>discussion in assessing the ideological foundation of multiracial</w:t>
      </w:r>
      <w:r w:rsidRPr="006814A1">
        <w:rPr>
          <w:vertAlign w:val="superscript"/>
        </w:rPr>
        <w:t xml:space="preserve"> </w:t>
      </w:r>
      <w:r w:rsidRPr="006814A1">
        <w:t>identity politics in the United States.</w:t>
      </w:r>
    </w:p>
    <w:p w:rsidR="00EC62EB" w:rsidRDefault="00EC62EB" w:rsidP="00EC62EB"/>
    <w:p w:rsidR="00EC62EB" w:rsidRDefault="00EC62EB" w:rsidP="00EC62EB">
      <w:pPr>
        <w:jc w:val="center"/>
      </w:pPr>
      <w:r>
        <w:t>***</w:t>
      </w:r>
    </w:p>
    <w:p w:rsidR="00EC62EB" w:rsidRPr="006814A1" w:rsidRDefault="00EC62EB" w:rsidP="00EC62EB"/>
    <w:p w:rsidR="00EC62EB" w:rsidRPr="006814A1" w:rsidRDefault="00EC62EB" w:rsidP="00EC62EB">
      <w:r w:rsidRPr="006814A1">
        <w:t xml:space="preserve">Amy </w:t>
      </w:r>
      <w:proofErr w:type="spellStart"/>
      <w:r w:rsidRPr="006814A1">
        <w:t>Steinbugler</w:t>
      </w:r>
      <w:proofErr w:type="spellEnd"/>
      <w:r w:rsidRPr="006814A1">
        <w:t xml:space="preserve"> et al.</w:t>
      </w:r>
    </w:p>
    <w:p w:rsidR="00EC62EB" w:rsidRPr="006814A1" w:rsidRDefault="00EC62EB" w:rsidP="00EC62EB">
      <w:r w:rsidRPr="00D81FA8">
        <w:t>Gender, Race, and Affirmat</w:t>
      </w:r>
      <w:r w:rsidRPr="00D81FA8">
        <w:t>i</w:t>
      </w:r>
      <w:r w:rsidRPr="00D81FA8">
        <w:t>ve Action</w:t>
      </w:r>
    </w:p>
    <w:p w:rsidR="00EC62EB" w:rsidRDefault="00EC62EB" w:rsidP="00EC62EB">
      <w:pPr>
        <w:rPr>
          <w:rStyle w:val="Emphasis"/>
        </w:rPr>
      </w:pPr>
      <w:r w:rsidRPr="006814A1">
        <w:rPr>
          <w:rStyle w:val="Emphasis"/>
        </w:rPr>
        <w:t>Gender &amp; Society, Vol. 20, 805 – 825 (2006)</w:t>
      </w:r>
    </w:p>
    <w:p w:rsidR="00D81FA8" w:rsidRPr="006814A1" w:rsidRDefault="00D81FA8" w:rsidP="00EC62EB">
      <w:pPr>
        <w:rPr>
          <w:rStyle w:val="Emphasis"/>
          <w:i w:val="0"/>
        </w:rPr>
      </w:pPr>
      <w:hyperlink r:id="rId9" w:history="1">
        <w:r>
          <w:rPr>
            <w:rStyle w:val="Hyperlink"/>
          </w:rPr>
          <w:t>http://gas.sagepub.com/cgi/reprint/20/6/805?ijkey=dig7zWDIJLofc&amp;keytype=ref&amp;siteid=spgas</w:t>
        </w:r>
      </w:hyperlink>
    </w:p>
    <w:p w:rsidR="00EC62EB" w:rsidRPr="00EE5610" w:rsidRDefault="00EC62EB" w:rsidP="00EC62EB">
      <w:pPr>
        <w:rPr>
          <w:b/>
        </w:rPr>
      </w:pPr>
      <w:r>
        <w:rPr>
          <w:b/>
        </w:rPr>
        <w:t xml:space="preserve">Abstract: </w:t>
      </w:r>
    </w:p>
    <w:p w:rsidR="00EC62EB" w:rsidRPr="006814A1" w:rsidRDefault="00EC62EB" w:rsidP="00EC62EB">
      <w:r w:rsidRPr="006814A1">
        <w:lastRenderedPageBreak/>
        <w:t xml:space="preserve">In this article, the authors </w:t>
      </w:r>
      <w:proofErr w:type="spellStart"/>
      <w:r w:rsidRPr="006814A1">
        <w:t>operationalize</w:t>
      </w:r>
      <w:proofErr w:type="spellEnd"/>
      <w:r w:rsidRPr="006814A1">
        <w:t xml:space="preserve"> the intersection</w:t>
      </w:r>
      <w:r w:rsidRPr="006814A1">
        <w:rPr>
          <w:vertAlign w:val="superscript"/>
        </w:rPr>
        <w:t xml:space="preserve"> </w:t>
      </w:r>
      <w:r w:rsidRPr="006814A1">
        <w:t>of gender and race in survey research. Using quantitative data</w:t>
      </w:r>
      <w:r w:rsidRPr="006814A1">
        <w:rPr>
          <w:vertAlign w:val="superscript"/>
        </w:rPr>
        <w:t xml:space="preserve"> </w:t>
      </w:r>
      <w:r w:rsidRPr="006814A1">
        <w:t>from the Multi-City Study of Urban Inequality, they investigate</w:t>
      </w:r>
      <w:r w:rsidRPr="006814A1">
        <w:rPr>
          <w:vertAlign w:val="superscript"/>
        </w:rPr>
        <w:t xml:space="preserve"> </w:t>
      </w:r>
      <w:r w:rsidRPr="006814A1">
        <w:t>how gender/racial stereotypes about African Americans affect</w:t>
      </w:r>
      <w:r w:rsidRPr="006814A1">
        <w:rPr>
          <w:vertAlign w:val="superscript"/>
        </w:rPr>
        <w:t xml:space="preserve"> </w:t>
      </w:r>
      <w:r w:rsidRPr="006814A1">
        <w:t>Whites’ attitudes about two types of affirmative action</w:t>
      </w:r>
      <w:r w:rsidRPr="006814A1">
        <w:rPr>
          <w:vertAlign w:val="superscript"/>
        </w:rPr>
        <w:t xml:space="preserve"> </w:t>
      </w:r>
      <w:r w:rsidRPr="006814A1">
        <w:t>programs: (1) job training and education and (2) hiring and</w:t>
      </w:r>
      <w:r w:rsidRPr="006814A1">
        <w:rPr>
          <w:vertAlign w:val="superscript"/>
        </w:rPr>
        <w:t xml:space="preserve"> </w:t>
      </w:r>
      <w:r w:rsidRPr="006814A1">
        <w:t>promotion. The authors find that gender/racial prejudice towards</w:t>
      </w:r>
      <w:r w:rsidRPr="006814A1">
        <w:rPr>
          <w:vertAlign w:val="superscript"/>
        </w:rPr>
        <w:t xml:space="preserve"> </w:t>
      </w:r>
      <w:r w:rsidRPr="006814A1">
        <w:t xml:space="preserve">Black women and Black men </w:t>
      </w:r>
      <w:proofErr w:type="gramStart"/>
      <w:r w:rsidRPr="006814A1">
        <w:t>influences</w:t>
      </w:r>
      <w:proofErr w:type="gramEnd"/>
      <w:r w:rsidRPr="006814A1">
        <w:t xml:space="preserve"> Whites’ opposition</w:t>
      </w:r>
      <w:r w:rsidRPr="006814A1">
        <w:rPr>
          <w:vertAlign w:val="superscript"/>
        </w:rPr>
        <w:t xml:space="preserve"> </w:t>
      </w:r>
      <w:r w:rsidRPr="006814A1">
        <w:t>to affirmative action at different levels than negative attitudes</w:t>
      </w:r>
      <w:r w:rsidRPr="006814A1">
        <w:rPr>
          <w:vertAlign w:val="superscript"/>
        </w:rPr>
        <w:t xml:space="preserve"> </w:t>
      </w:r>
      <w:r w:rsidRPr="006814A1">
        <w:t>towards Blacks as a group. Prejudice toward Black women has</w:t>
      </w:r>
      <w:r w:rsidRPr="006814A1">
        <w:rPr>
          <w:vertAlign w:val="superscript"/>
        </w:rPr>
        <w:t xml:space="preserve"> </w:t>
      </w:r>
      <w:r w:rsidRPr="006814A1">
        <w:t>a larger effect on Whites’ policy preferences than does</w:t>
      </w:r>
      <w:r w:rsidRPr="006814A1">
        <w:rPr>
          <w:vertAlign w:val="superscript"/>
        </w:rPr>
        <w:t xml:space="preserve"> </w:t>
      </w:r>
      <w:r w:rsidRPr="006814A1">
        <w:t>prejudice toward Black men or Blacks in general. In future research,</w:t>
      </w:r>
      <w:r w:rsidRPr="006814A1">
        <w:rPr>
          <w:vertAlign w:val="superscript"/>
        </w:rPr>
        <w:t xml:space="preserve"> </w:t>
      </w:r>
      <w:r w:rsidRPr="006814A1">
        <w:t>survey methodologists should develop better intersectional measures</w:t>
      </w:r>
      <w:r w:rsidRPr="006814A1">
        <w:rPr>
          <w:vertAlign w:val="superscript"/>
        </w:rPr>
        <w:t xml:space="preserve"> </w:t>
      </w:r>
      <w:r w:rsidRPr="006814A1">
        <w:t>to further document these gender/racial attitudes.</w:t>
      </w:r>
    </w:p>
    <w:p w:rsidR="00EC62EB" w:rsidRPr="006814A1" w:rsidRDefault="00EC62EB" w:rsidP="00EC62EB"/>
    <w:p w:rsidR="00EC62EB" w:rsidRPr="00CF2C08" w:rsidRDefault="00EC62EB" w:rsidP="00EC62EB">
      <w:pPr>
        <w:spacing w:line="225" w:lineRule="atLeast"/>
        <w:textAlignment w:val="baseline"/>
        <w:rPr>
          <w:shd w:val="clear" w:color="auto" w:fill="FFFFFF"/>
        </w:rPr>
      </w:pPr>
      <w:r w:rsidRPr="00CF2C08">
        <w:rPr>
          <w:rStyle w:val="cit-auth"/>
          <w:bdr w:val="none" w:sz="0" w:space="0" w:color="auto" w:frame="1"/>
          <w:shd w:val="clear" w:color="auto" w:fill="FFFFFF"/>
        </w:rPr>
        <w:t>Geoffrey Hunt</w:t>
      </w:r>
      <w:r w:rsidRPr="00CF2C08">
        <w:rPr>
          <w:rStyle w:val="cit-sep"/>
          <w:bdr w:val="none" w:sz="0" w:space="0" w:color="auto" w:frame="1"/>
          <w:shd w:val="clear" w:color="auto" w:fill="FFFFFF"/>
        </w:rPr>
        <w:t>,</w:t>
      </w:r>
      <w:r w:rsidRPr="00CF2C08">
        <w:rPr>
          <w:rStyle w:val="apple-converted-space"/>
          <w:bdr w:val="none" w:sz="0" w:space="0" w:color="auto" w:frame="1"/>
          <w:shd w:val="clear" w:color="auto" w:fill="FFFFFF"/>
        </w:rPr>
        <w:t> </w:t>
      </w:r>
      <w:r w:rsidRPr="00CF2C08">
        <w:rPr>
          <w:rStyle w:val="cit-auth"/>
          <w:bdr w:val="none" w:sz="0" w:space="0" w:color="auto" w:frame="1"/>
          <w:shd w:val="clear" w:color="auto" w:fill="FFFFFF"/>
        </w:rPr>
        <w:t xml:space="preserve">Molly </w:t>
      </w:r>
      <w:proofErr w:type="spellStart"/>
      <w:r w:rsidRPr="00CF2C08">
        <w:rPr>
          <w:rStyle w:val="cit-auth"/>
          <w:bdr w:val="none" w:sz="0" w:space="0" w:color="auto" w:frame="1"/>
          <w:shd w:val="clear" w:color="auto" w:fill="FFFFFF"/>
        </w:rPr>
        <w:t>Moloney</w:t>
      </w:r>
      <w:proofErr w:type="spellEnd"/>
      <w:r w:rsidRPr="00CF2C08">
        <w:rPr>
          <w:rStyle w:val="cit-sep"/>
          <w:bdr w:val="none" w:sz="0" w:space="0" w:color="auto" w:frame="1"/>
          <w:shd w:val="clear" w:color="auto" w:fill="FFFFFF"/>
        </w:rPr>
        <w:t>,</w:t>
      </w:r>
      <w:r w:rsidRPr="00CF2C08">
        <w:rPr>
          <w:rStyle w:val="apple-converted-space"/>
          <w:bdr w:val="none" w:sz="0" w:space="0" w:color="auto" w:frame="1"/>
          <w:shd w:val="clear" w:color="auto" w:fill="FFFFFF"/>
        </w:rPr>
        <w:t> </w:t>
      </w:r>
      <w:r w:rsidRPr="00CF2C08">
        <w:rPr>
          <w:rStyle w:val="cit-sep"/>
          <w:bdr w:val="none" w:sz="0" w:space="0" w:color="auto" w:frame="1"/>
          <w:shd w:val="clear" w:color="auto" w:fill="FFFFFF"/>
        </w:rPr>
        <w:t>and</w:t>
      </w:r>
      <w:r w:rsidRPr="00CF2C08">
        <w:rPr>
          <w:rStyle w:val="apple-converted-space"/>
          <w:bdr w:val="none" w:sz="0" w:space="0" w:color="auto" w:frame="1"/>
          <w:shd w:val="clear" w:color="auto" w:fill="FFFFFF"/>
        </w:rPr>
        <w:t> </w:t>
      </w:r>
      <w:r w:rsidRPr="00CF2C08">
        <w:rPr>
          <w:rStyle w:val="cit-auth"/>
          <w:bdr w:val="none" w:sz="0" w:space="0" w:color="auto" w:frame="1"/>
          <w:shd w:val="clear" w:color="auto" w:fill="FFFFFF"/>
        </w:rPr>
        <w:t>Kristin Evans</w:t>
      </w:r>
    </w:p>
    <w:p w:rsidR="00EC62EB" w:rsidRPr="00670CF4" w:rsidRDefault="00EC62EB" w:rsidP="00EC62EB">
      <w:pPr>
        <w:spacing w:line="225" w:lineRule="atLeast"/>
        <w:rPr>
          <w:rStyle w:val="apple-style-span"/>
          <w:shd w:val="clear" w:color="auto" w:fill="FFFFFF"/>
        </w:rPr>
      </w:pPr>
      <w:r w:rsidRPr="00D81FA8">
        <w:rPr>
          <w:bCs/>
          <w:bdr w:val="none" w:sz="0" w:space="0" w:color="auto" w:frame="1"/>
          <w:shd w:val="clear" w:color="auto" w:fill="FFFFFF"/>
        </w:rPr>
        <w:t>“How Asian Am I?</w:t>
      </w:r>
      <w:proofErr w:type="gramStart"/>
      <w:r w:rsidRPr="00D81FA8">
        <w:rPr>
          <w:bCs/>
          <w:bdr w:val="none" w:sz="0" w:space="0" w:color="auto" w:frame="1"/>
          <w:shd w:val="clear" w:color="auto" w:fill="FFFFFF"/>
        </w:rPr>
        <w:t>”</w:t>
      </w:r>
      <w:r w:rsidRPr="00D81FA8">
        <w:rPr>
          <w:bCs/>
          <w:bdr w:val="none" w:sz="0" w:space="0" w:color="auto" w:frame="1"/>
          <w:shd w:val="clear" w:color="auto" w:fill="FFFFFF"/>
        </w:rPr>
        <w:t>:</w:t>
      </w:r>
      <w:proofErr w:type="gramEnd"/>
      <w:r w:rsidRPr="00D81FA8">
        <w:rPr>
          <w:bCs/>
          <w:bdr w:val="none" w:sz="0" w:space="0" w:color="auto" w:frame="1"/>
          <w:shd w:val="clear" w:color="auto" w:fill="FFFFFF"/>
        </w:rPr>
        <w:t xml:space="preserve"> Asian American Youth Cultures, Drug Use, and Ethnic Identity Construction</w:t>
      </w:r>
    </w:p>
    <w:p w:rsidR="00EC62EB" w:rsidRDefault="00EC62EB" w:rsidP="00EC62EB">
      <w:pPr>
        <w:rPr>
          <w:rStyle w:val="cit-ahead-of-print-date"/>
          <w:i/>
          <w:iCs/>
          <w:bdr w:val="none" w:sz="0" w:space="0" w:color="auto" w:frame="1"/>
          <w:shd w:val="clear" w:color="auto" w:fill="FFFFFF"/>
        </w:rPr>
      </w:pPr>
      <w:r w:rsidRPr="00CF2C08">
        <w:rPr>
          <w:rStyle w:val="site-title"/>
          <w:i/>
          <w:iCs/>
          <w:bdr w:val="none" w:sz="0" w:space="0" w:color="auto" w:frame="1"/>
          <w:shd w:val="clear" w:color="auto" w:fill="FFFFFF"/>
        </w:rPr>
        <w:t>Youth &amp; Society</w:t>
      </w:r>
      <w:r w:rsidRPr="00CF2C08">
        <w:rPr>
          <w:rStyle w:val="cit-sep"/>
          <w:i/>
          <w:iCs/>
          <w:bdr w:val="none" w:sz="0" w:space="0" w:color="auto" w:frame="1"/>
          <w:shd w:val="clear" w:color="auto" w:fill="FFFFFF"/>
        </w:rPr>
        <w:t>,</w:t>
      </w:r>
      <w:r w:rsidRPr="00CF2C08">
        <w:rPr>
          <w:rStyle w:val="apple-converted-space"/>
          <w:i/>
          <w:iCs/>
          <w:bdr w:val="none" w:sz="0" w:space="0" w:color="auto" w:frame="1"/>
          <w:shd w:val="clear" w:color="auto" w:fill="FFFFFF"/>
        </w:rPr>
        <w:t> </w:t>
      </w:r>
      <w:r w:rsidRPr="00CF2C08">
        <w:rPr>
          <w:rStyle w:val="cit-print-date"/>
          <w:i/>
          <w:iCs/>
          <w:bdr w:val="none" w:sz="0" w:space="0" w:color="auto" w:frame="1"/>
          <w:shd w:val="clear" w:color="auto" w:fill="FFFFFF"/>
        </w:rPr>
        <w:t>March 2011</w:t>
      </w:r>
      <w:r w:rsidRPr="00CF2C08">
        <w:rPr>
          <w:rStyle w:val="cit-sep"/>
          <w:i/>
          <w:iCs/>
          <w:bdr w:val="none" w:sz="0" w:space="0" w:color="auto" w:frame="1"/>
          <w:shd w:val="clear" w:color="auto" w:fill="FFFFFF"/>
        </w:rPr>
        <w:t>;</w:t>
      </w:r>
      <w:r w:rsidRPr="00CF2C08">
        <w:rPr>
          <w:rStyle w:val="apple-converted-space"/>
          <w:i/>
          <w:iCs/>
          <w:bdr w:val="none" w:sz="0" w:space="0" w:color="auto" w:frame="1"/>
          <w:shd w:val="clear" w:color="auto" w:fill="FFFFFF"/>
        </w:rPr>
        <w:t> </w:t>
      </w:r>
      <w:r w:rsidRPr="00CF2C08">
        <w:rPr>
          <w:rStyle w:val="cit-sep"/>
          <w:i/>
          <w:iCs/>
          <w:bdr w:val="none" w:sz="0" w:space="0" w:color="auto" w:frame="1"/>
          <w:shd w:val="clear" w:color="auto" w:fill="FFFFFF"/>
        </w:rPr>
        <w:t>vol.</w:t>
      </w:r>
      <w:r w:rsidRPr="00CF2C08">
        <w:rPr>
          <w:rStyle w:val="apple-converted-space"/>
          <w:i/>
          <w:iCs/>
          <w:bdr w:val="none" w:sz="0" w:space="0" w:color="auto" w:frame="1"/>
          <w:shd w:val="clear" w:color="auto" w:fill="FFFFFF"/>
        </w:rPr>
        <w:t> </w:t>
      </w:r>
      <w:r w:rsidRPr="00CF2C08">
        <w:rPr>
          <w:rStyle w:val="cit-vol"/>
          <w:i/>
          <w:iCs/>
          <w:bdr w:val="none" w:sz="0" w:space="0" w:color="auto" w:frame="1"/>
          <w:shd w:val="clear" w:color="auto" w:fill="FFFFFF"/>
        </w:rPr>
        <w:t>43</w:t>
      </w:r>
      <w:r w:rsidRPr="00CF2C08">
        <w:rPr>
          <w:rStyle w:val="cit-sep"/>
          <w:i/>
          <w:iCs/>
          <w:bdr w:val="none" w:sz="0" w:space="0" w:color="auto" w:frame="1"/>
          <w:shd w:val="clear" w:color="auto" w:fill="FFFFFF"/>
        </w:rPr>
        <w:t>,</w:t>
      </w:r>
      <w:r w:rsidRPr="00CF2C08">
        <w:rPr>
          <w:rStyle w:val="apple-converted-space"/>
          <w:i/>
          <w:iCs/>
          <w:bdr w:val="none" w:sz="0" w:space="0" w:color="auto" w:frame="1"/>
          <w:shd w:val="clear" w:color="auto" w:fill="FFFFFF"/>
        </w:rPr>
        <w:t> </w:t>
      </w:r>
      <w:r w:rsidRPr="00CF2C08">
        <w:rPr>
          <w:rStyle w:val="cit-issue"/>
          <w:i/>
          <w:iCs/>
          <w:bdr w:val="none" w:sz="0" w:space="0" w:color="auto" w:frame="1"/>
          <w:shd w:val="clear" w:color="auto" w:fill="FFFFFF"/>
        </w:rPr>
        <w:t>1</w:t>
      </w:r>
      <w:r w:rsidRPr="00CF2C08">
        <w:rPr>
          <w:rStyle w:val="cit-sep"/>
          <w:i/>
          <w:iCs/>
          <w:bdr w:val="none" w:sz="0" w:space="0" w:color="auto" w:frame="1"/>
          <w:shd w:val="clear" w:color="auto" w:fill="FFFFFF"/>
        </w:rPr>
        <w:t>:</w:t>
      </w:r>
      <w:r w:rsidRPr="00CF2C08">
        <w:rPr>
          <w:rStyle w:val="apple-converted-space"/>
          <w:i/>
          <w:iCs/>
          <w:bdr w:val="none" w:sz="0" w:space="0" w:color="auto" w:frame="1"/>
          <w:shd w:val="clear" w:color="auto" w:fill="FFFFFF"/>
        </w:rPr>
        <w:t> </w:t>
      </w:r>
      <w:r w:rsidRPr="00CF2C08">
        <w:rPr>
          <w:rStyle w:val="cit-sep"/>
          <w:i/>
          <w:iCs/>
          <w:bdr w:val="none" w:sz="0" w:space="0" w:color="auto" w:frame="1"/>
          <w:shd w:val="clear" w:color="auto" w:fill="FFFFFF"/>
        </w:rPr>
        <w:t>pp.</w:t>
      </w:r>
      <w:r w:rsidRPr="00CF2C08">
        <w:rPr>
          <w:rStyle w:val="apple-converted-space"/>
          <w:i/>
          <w:iCs/>
          <w:bdr w:val="none" w:sz="0" w:space="0" w:color="auto" w:frame="1"/>
          <w:shd w:val="clear" w:color="auto" w:fill="FFFFFF"/>
        </w:rPr>
        <w:t> </w:t>
      </w:r>
      <w:r w:rsidRPr="00CF2C08">
        <w:rPr>
          <w:rStyle w:val="cit-first-page"/>
          <w:i/>
          <w:iCs/>
          <w:bdr w:val="none" w:sz="0" w:space="0" w:color="auto" w:frame="1"/>
          <w:shd w:val="clear" w:color="auto" w:fill="FFFFFF"/>
        </w:rPr>
        <w:t>274</w:t>
      </w:r>
      <w:r w:rsidRPr="00CF2C08">
        <w:rPr>
          <w:rStyle w:val="cit-sep"/>
          <w:i/>
          <w:iCs/>
          <w:bdr w:val="none" w:sz="0" w:space="0" w:color="auto" w:frame="1"/>
          <w:shd w:val="clear" w:color="auto" w:fill="FFFFFF"/>
        </w:rPr>
        <w:t>-</w:t>
      </w:r>
      <w:proofErr w:type="gramStart"/>
      <w:r w:rsidRPr="00CF2C08">
        <w:rPr>
          <w:rStyle w:val="cit-last-page"/>
          <w:i/>
          <w:iCs/>
          <w:bdr w:val="none" w:sz="0" w:space="0" w:color="auto" w:frame="1"/>
          <w:shd w:val="clear" w:color="auto" w:fill="FFFFFF"/>
        </w:rPr>
        <w:t>304</w:t>
      </w:r>
      <w:r w:rsidRPr="00CF2C08">
        <w:rPr>
          <w:rStyle w:val="cit-sep"/>
          <w:i/>
          <w:iCs/>
          <w:bdr w:val="none" w:sz="0" w:space="0" w:color="auto" w:frame="1"/>
          <w:shd w:val="clear" w:color="auto" w:fill="FFFFFF"/>
        </w:rPr>
        <w:t>.,</w:t>
      </w:r>
      <w:proofErr w:type="gramEnd"/>
      <w:r w:rsidRPr="00CF2C08">
        <w:rPr>
          <w:rStyle w:val="apple-converted-space"/>
          <w:i/>
          <w:iCs/>
          <w:bdr w:val="none" w:sz="0" w:space="0" w:color="auto" w:frame="1"/>
          <w:shd w:val="clear" w:color="auto" w:fill="FFFFFF"/>
        </w:rPr>
        <w:t> </w:t>
      </w:r>
      <w:r w:rsidRPr="00CF2C08">
        <w:rPr>
          <w:rStyle w:val="cit-sep"/>
          <w:i/>
          <w:iCs/>
          <w:bdr w:val="none" w:sz="0" w:space="0" w:color="auto" w:frame="1"/>
          <w:shd w:val="clear" w:color="auto" w:fill="FFFFFF"/>
        </w:rPr>
        <w:t>first published on</w:t>
      </w:r>
      <w:r w:rsidRPr="00CF2C08">
        <w:rPr>
          <w:rStyle w:val="apple-converted-space"/>
          <w:i/>
          <w:iCs/>
          <w:bdr w:val="none" w:sz="0" w:space="0" w:color="auto" w:frame="1"/>
          <w:shd w:val="clear" w:color="auto" w:fill="FFFFFF"/>
        </w:rPr>
        <w:t> </w:t>
      </w:r>
      <w:r w:rsidRPr="00CF2C08">
        <w:rPr>
          <w:rStyle w:val="cit-ahead-of-print-date"/>
          <w:i/>
          <w:iCs/>
          <w:bdr w:val="none" w:sz="0" w:space="0" w:color="auto" w:frame="1"/>
          <w:shd w:val="clear" w:color="auto" w:fill="FFFFFF"/>
        </w:rPr>
        <w:t>March 17, 2010</w:t>
      </w:r>
    </w:p>
    <w:p w:rsidR="00D81FA8" w:rsidRPr="00CF2C08" w:rsidRDefault="00D81FA8" w:rsidP="00EC62EB">
      <w:pPr>
        <w:rPr>
          <w:rStyle w:val="cit-ahead-of-print-date"/>
          <w:i/>
          <w:iCs/>
          <w:bdr w:val="none" w:sz="0" w:space="0" w:color="auto" w:frame="1"/>
          <w:shd w:val="clear" w:color="auto" w:fill="FFFFFF"/>
        </w:rPr>
      </w:pPr>
      <w:hyperlink r:id="rId10" w:history="1">
        <w:r>
          <w:rPr>
            <w:rStyle w:val="Hyperlink"/>
          </w:rPr>
          <w:t>http://yas.sagepub.com/cgi/reprint/43/1/274?ijkey=arMp.CbjJrK.6&amp;keytype=ref&amp;siteid=spyas</w:t>
        </w:r>
      </w:hyperlink>
    </w:p>
    <w:p w:rsidR="00EC62EB" w:rsidRPr="00CF2C08" w:rsidRDefault="00EC62EB" w:rsidP="00EC62EB">
      <w:pPr>
        <w:rPr>
          <w:rStyle w:val="cit-ahead-of-print-date"/>
          <w:b/>
          <w:iCs/>
          <w:bdr w:val="none" w:sz="0" w:space="0" w:color="auto" w:frame="1"/>
          <w:shd w:val="clear" w:color="auto" w:fill="FFFFFF"/>
        </w:rPr>
      </w:pPr>
      <w:r w:rsidRPr="00CF2C08">
        <w:rPr>
          <w:rStyle w:val="cit-ahead-of-print-date"/>
          <w:b/>
          <w:iCs/>
          <w:bdr w:val="none" w:sz="0" w:space="0" w:color="auto" w:frame="1"/>
          <w:shd w:val="clear" w:color="auto" w:fill="FFFFFF"/>
        </w:rPr>
        <w:t>Abstract:</w:t>
      </w:r>
    </w:p>
    <w:p w:rsidR="00EC62EB" w:rsidRDefault="00EC62EB" w:rsidP="00EC62EB">
      <w:pPr>
        <w:rPr>
          <w:rStyle w:val="apple-style-span"/>
          <w:shd w:val="clear" w:color="auto" w:fill="FFFFFF"/>
        </w:rPr>
      </w:pPr>
      <w:r w:rsidRPr="00CF2C08">
        <w:rPr>
          <w:rStyle w:val="apple-style-span"/>
          <w:shd w:val="clear" w:color="auto" w:fill="FFFFFF"/>
        </w:rPr>
        <w:t xml:space="preserve">This article analyzes the construction of ethnic identity in the narratives of 100 young Asian Americans in a dance club/rave scene. Authors examine how illicit drug use and other consuming practices shape their understanding of Asian American identities, finding three distinct patterns. The first presents a disjuncture between Asian American ethnicity and drug use, seeing their own consumption as </w:t>
      </w:r>
      <w:proofErr w:type="spellStart"/>
      <w:r w:rsidRPr="00CF2C08">
        <w:rPr>
          <w:rStyle w:val="apple-style-span"/>
          <w:shd w:val="clear" w:color="auto" w:fill="FFFFFF"/>
        </w:rPr>
        <w:t>exceptional.The</w:t>
      </w:r>
      <w:proofErr w:type="spellEnd"/>
      <w:r w:rsidRPr="00CF2C08">
        <w:rPr>
          <w:rStyle w:val="apple-style-span"/>
          <w:shd w:val="clear" w:color="auto" w:fill="FFFFFF"/>
        </w:rPr>
        <w:t xml:space="preserve"> second argues their drug consumption is a natural outgrowth of their Asian American identity, allowing them to navigate the liminal space they occupy in American society. The final group presents Asian American drug use as normalized and constructs identity through taste and lifestyle boundary markers within social contexts of the dance scenes. These three narratives share a sense of ethnicity as dynamic, provisional, and constructed, allowing one to go beyond the static, essentialist models of ethnic identity that underlie much previous research on ethnicity, immigration, and substance use.</w:t>
      </w:r>
    </w:p>
    <w:p w:rsidR="006355A3" w:rsidRDefault="006355A3" w:rsidP="00EC62EB">
      <w:pPr>
        <w:rPr>
          <w:rStyle w:val="apple-style-span"/>
          <w:shd w:val="clear" w:color="auto" w:fill="FFFFFF"/>
        </w:rPr>
      </w:pPr>
    </w:p>
    <w:p w:rsidR="006355A3" w:rsidRDefault="006355A3" w:rsidP="006355A3">
      <w:pPr>
        <w:rPr>
          <w:rStyle w:val="Strong"/>
          <w:rFonts w:eastAsiaTheme="majorEastAsia"/>
          <w:b w:val="0"/>
        </w:rPr>
      </w:pPr>
      <w:r w:rsidRPr="008A077F">
        <w:t xml:space="preserve">Kim, Esther </w:t>
      </w:r>
      <w:proofErr w:type="spellStart"/>
      <w:r w:rsidRPr="008A077F">
        <w:t>Chihye</w:t>
      </w:r>
      <w:proofErr w:type="spellEnd"/>
      <w:r w:rsidRPr="008A077F">
        <w:rPr>
          <w:rStyle w:val="Strong"/>
          <w:rFonts w:eastAsiaTheme="majorEastAsia"/>
        </w:rPr>
        <w:t xml:space="preserve"> </w:t>
      </w:r>
    </w:p>
    <w:p w:rsidR="006355A3" w:rsidRDefault="006355A3" w:rsidP="006355A3">
      <w:r w:rsidRPr="00B46063">
        <w:rPr>
          <w:rStyle w:val="Strong"/>
          <w:rFonts w:eastAsiaTheme="majorEastAsia"/>
        </w:rPr>
        <w:t>'Mama's family': Fictive kinship and undocumented immigrant restaurant workers</w:t>
      </w:r>
    </w:p>
    <w:p w:rsidR="006355A3" w:rsidRDefault="006355A3" w:rsidP="006355A3">
      <w:pPr>
        <w:rPr>
          <w:rStyle w:val="Emphasis"/>
        </w:rPr>
      </w:pPr>
      <w:r w:rsidRPr="008A077F">
        <w:rPr>
          <w:rStyle w:val="Emphasis"/>
        </w:rPr>
        <w:t>Ethnography, Dec 2009; vol. 10: pp. 497-513</w:t>
      </w:r>
    </w:p>
    <w:p w:rsidR="006355A3" w:rsidRDefault="00D81FA8" w:rsidP="006355A3">
      <w:hyperlink r:id="rId11" w:history="1">
        <w:r>
          <w:rPr>
            <w:rStyle w:val="Hyperlink"/>
          </w:rPr>
          <w:t>http://eth.sagepub.com/cgi/reprint/10/4/497?ijkey=MoOGdulkd4.bM&amp;keytype=ref&amp;siteid=speth</w:t>
        </w:r>
      </w:hyperlink>
      <w:r w:rsidR="006355A3" w:rsidRPr="00B46063">
        <w:rPr>
          <w:b/>
        </w:rPr>
        <w:t>Abstract</w:t>
      </w:r>
      <w:r w:rsidR="006355A3">
        <w:t xml:space="preserve">: </w:t>
      </w:r>
    </w:p>
    <w:p w:rsidR="006355A3" w:rsidRDefault="006355A3" w:rsidP="006355A3">
      <w:r w:rsidRPr="006C266E">
        <w:t xml:space="preserve">Undocumented workers create social cohesion, which serves as a source of solidarity and identification for individuals who are otherwise pushed to the periphery by the dominant society. This article is based on a larger study examining the personal, social, and working lives of undocumented restaurant workers using an ethnographic approach in conjunction with the life history method. Based on observation of their day-to-day interactions in the restaurant and in conversations, this article discusses the family' or fictive kin relationship they establish with their co-workers and their employer. Despite their illegal status and low earnings, this group of undocumented workers is able to maintain their dignity, find ways of bringing joy to their lives, and attain a sense of belonging. Integration into the restaurant's pseudo-family averts feelings of frustration and loneliness that are often the consequences of marginalization. </w:t>
      </w:r>
    </w:p>
    <w:p w:rsidR="006355A3" w:rsidRDefault="006355A3" w:rsidP="006355A3">
      <w:pPr>
        <w:rPr>
          <w:rStyle w:val="apple-style-span"/>
          <w:shd w:val="clear" w:color="auto" w:fill="FFFFFF"/>
        </w:rPr>
      </w:pPr>
    </w:p>
    <w:p w:rsidR="006355A3" w:rsidRDefault="006355A3" w:rsidP="006355A3">
      <w:r w:rsidRPr="00B406A8">
        <w:rPr>
          <w:rStyle w:val="Strong"/>
          <w:rFonts w:eastAsiaTheme="majorEastAsia"/>
        </w:rPr>
        <w:t>The White Girl's Burden</w:t>
      </w:r>
    </w:p>
    <w:p w:rsidR="006355A3" w:rsidRDefault="006355A3" w:rsidP="006355A3">
      <w:pPr>
        <w:rPr>
          <w:rStyle w:val="Emphasis"/>
        </w:rPr>
      </w:pPr>
      <w:r>
        <w:lastRenderedPageBreak/>
        <w:t>Finnegan, Amy C</w:t>
      </w:r>
      <w:proofErr w:type="gramStart"/>
      <w:r>
        <w:t>.</w:t>
      </w:r>
      <w:proofErr w:type="gramEnd"/>
      <w:r>
        <w:br/>
      </w:r>
      <w:r>
        <w:rPr>
          <w:rStyle w:val="Emphasis"/>
        </w:rPr>
        <w:t>Contexts, Feb 2013; vol. 12: pp. 30-35</w:t>
      </w:r>
    </w:p>
    <w:p w:rsidR="006355A3" w:rsidRDefault="00D81FA8" w:rsidP="006355A3">
      <w:hyperlink r:id="rId12" w:history="1">
        <w:r>
          <w:rPr>
            <w:rStyle w:val="Hyperlink"/>
          </w:rPr>
          <w:t>http://ctx.sagepub.com/cgi/reprint/12/1/30?ijkey=mzwt70NbeQjEE&amp;keytype=ref&amp;siteid=spctx</w:t>
        </w:r>
      </w:hyperlink>
    </w:p>
    <w:p w:rsidR="006355A3" w:rsidRDefault="006355A3" w:rsidP="006355A3">
      <w:r w:rsidRPr="00B46063">
        <w:rPr>
          <w:b/>
        </w:rPr>
        <w:t>Abstract</w:t>
      </w:r>
      <w:r>
        <w:t>:</w:t>
      </w:r>
    </w:p>
    <w:p w:rsidR="00AE68AB" w:rsidRDefault="006355A3">
      <w:r>
        <w:t xml:space="preserve">Sociologist Amy C. Finnegan provides a critical analysis of the movement behind the </w:t>
      </w:r>
      <w:proofErr w:type="spellStart"/>
      <w:r>
        <w:t>Kony</w:t>
      </w:r>
      <w:proofErr w:type="spellEnd"/>
      <w:r>
        <w:t xml:space="preserve"> 2012 campaign and how this unique form of activism coalesces with the biographies of the activists, who are notably white, privileged, Christian, adolescent females. </w:t>
      </w:r>
    </w:p>
    <w:sectPr w:rsidR="00AE68AB" w:rsidSect="00AE68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ItalicMT">
    <w:altName w:val="Arial"/>
    <w:panose1 w:val="00000000000000000000"/>
    <w:charset w:val="4D"/>
    <w:family w:val="swiss"/>
    <w:notTrueType/>
    <w:pitch w:val="default"/>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546163"/>
    <w:multiLevelType w:val="hybridMultilevel"/>
    <w:tmpl w:val="EE6C64A8"/>
    <w:lvl w:ilvl="0" w:tplc="0409000F">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w:rsids>
    <w:rsidRoot w:val="00EC62EB"/>
    <w:rsid w:val="002558AE"/>
    <w:rsid w:val="006355A3"/>
    <w:rsid w:val="00AE68AB"/>
    <w:rsid w:val="00C739AA"/>
    <w:rsid w:val="00D81FA8"/>
    <w:rsid w:val="00E52115"/>
    <w:rsid w:val="00EC62EB"/>
    <w:rsid w:val="00F937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2E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C62EB"/>
    <w:rPr>
      <w:color w:val="0000FF"/>
      <w:u w:val="single"/>
    </w:rPr>
  </w:style>
  <w:style w:type="character" w:styleId="Emphasis">
    <w:name w:val="Emphasis"/>
    <w:basedOn w:val="DefaultParagraphFont"/>
    <w:uiPriority w:val="20"/>
    <w:qFormat/>
    <w:rsid w:val="00EC62EB"/>
    <w:rPr>
      <w:i/>
      <w:iCs/>
    </w:rPr>
  </w:style>
  <w:style w:type="character" w:customStyle="1" w:styleId="apple-style-span">
    <w:name w:val="apple-style-span"/>
    <w:basedOn w:val="DefaultParagraphFont"/>
    <w:rsid w:val="00EC62EB"/>
  </w:style>
  <w:style w:type="character" w:customStyle="1" w:styleId="cit-auth">
    <w:name w:val="cit-auth"/>
    <w:basedOn w:val="DefaultParagraphFont"/>
    <w:rsid w:val="00EC62EB"/>
  </w:style>
  <w:style w:type="character" w:customStyle="1" w:styleId="cit-sep">
    <w:name w:val="cit-sep"/>
    <w:basedOn w:val="DefaultParagraphFont"/>
    <w:rsid w:val="00EC62EB"/>
  </w:style>
  <w:style w:type="character" w:customStyle="1" w:styleId="apple-converted-space">
    <w:name w:val="apple-converted-space"/>
    <w:basedOn w:val="DefaultParagraphFont"/>
    <w:rsid w:val="00EC62EB"/>
  </w:style>
  <w:style w:type="character" w:customStyle="1" w:styleId="site-title">
    <w:name w:val="site-title"/>
    <w:basedOn w:val="DefaultParagraphFont"/>
    <w:rsid w:val="00EC62EB"/>
  </w:style>
  <w:style w:type="character" w:customStyle="1" w:styleId="cit-print-date">
    <w:name w:val="cit-print-date"/>
    <w:basedOn w:val="DefaultParagraphFont"/>
    <w:rsid w:val="00EC62EB"/>
  </w:style>
  <w:style w:type="character" w:customStyle="1" w:styleId="cit-vol">
    <w:name w:val="cit-vol"/>
    <w:basedOn w:val="DefaultParagraphFont"/>
    <w:rsid w:val="00EC62EB"/>
  </w:style>
  <w:style w:type="character" w:customStyle="1" w:styleId="cit-issue">
    <w:name w:val="cit-issue"/>
    <w:basedOn w:val="DefaultParagraphFont"/>
    <w:rsid w:val="00EC62EB"/>
  </w:style>
  <w:style w:type="character" w:customStyle="1" w:styleId="cit-first-page">
    <w:name w:val="cit-first-page"/>
    <w:basedOn w:val="DefaultParagraphFont"/>
    <w:rsid w:val="00EC62EB"/>
  </w:style>
  <w:style w:type="character" w:customStyle="1" w:styleId="cit-last-page">
    <w:name w:val="cit-last-page"/>
    <w:basedOn w:val="DefaultParagraphFont"/>
    <w:rsid w:val="00EC62EB"/>
  </w:style>
  <w:style w:type="character" w:customStyle="1" w:styleId="cit-ahead-of-print-date">
    <w:name w:val="cit-ahead-of-print-date"/>
    <w:basedOn w:val="DefaultParagraphFont"/>
    <w:rsid w:val="00EC62EB"/>
  </w:style>
  <w:style w:type="character" w:styleId="Strong">
    <w:name w:val="Strong"/>
    <w:basedOn w:val="DefaultParagraphFont"/>
    <w:uiPriority w:val="22"/>
    <w:qFormat/>
    <w:rsid w:val="006355A3"/>
    <w:rPr>
      <w:b/>
      <w:bCs/>
    </w:rPr>
  </w:style>
  <w:style w:type="paragraph" w:styleId="BalloonText">
    <w:name w:val="Balloon Text"/>
    <w:basedOn w:val="Normal"/>
    <w:link w:val="BalloonTextChar"/>
    <w:uiPriority w:val="99"/>
    <w:semiHidden/>
    <w:unhideWhenUsed/>
    <w:rsid w:val="00C739AA"/>
    <w:rPr>
      <w:rFonts w:ascii="Tahoma" w:hAnsi="Tahoma" w:cs="Tahoma"/>
      <w:sz w:val="16"/>
      <w:szCs w:val="16"/>
    </w:rPr>
  </w:style>
  <w:style w:type="character" w:customStyle="1" w:styleId="BalloonTextChar">
    <w:name w:val="Balloon Text Char"/>
    <w:basedOn w:val="DefaultParagraphFont"/>
    <w:link w:val="BalloonText"/>
    <w:uiPriority w:val="99"/>
    <w:semiHidden/>
    <w:rsid w:val="00C739AA"/>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C739A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etn.sagepub.com/cgi/reprint/4/3/357?ijkey=uSYNAHSAAzYLY&amp;keytype=ref&amp;siteid=spet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jce.sagepub.com/cgi/reprint/30/1/56?ijkey=hL7gRVtzR7IXE&amp;keytype=ref&amp;siteid=spjce" TargetMode="External"/><Relationship Id="rId12" Type="http://schemas.openxmlformats.org/officeDocument/2006/relationships/hyperlink" Target="http://ctx.sagepub.com/cgi/reprint/12/1/30?ijkey=mzwt70NbeQjEE&amp;keytype=ref&amp;siteid=spct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jce.sagepub.com/cgi/reprint/33/5/534?ijkey=uZmPI31y9u3EQ&amp;keytype=ref&amp;siteid=spjce" TargetMode="External"/><Relationship Id="rId11" Type="http://schemas.openxmlformats.org/officeDocument/2006/relationships/hyperlink" Target="http://eth.sagepub.com/cgi/reprint/10/4/497?ijkey=MoOGdulkd4.bM&amp;keytype=ref&amp;siteid=speth" TargetMode="External"/><Relationship Id="rId5" Type="http://schemas.openxmlformats.org/officeDocument/2006/relationships/hyperlink" Target="http://jce.sagepub.com/cgi/reprint/29/3/268?ijkey=.1qSUDyVBGiuA&amp;keytype=ref&amp;siteid=spjce" TargetMode="External"/><Relationship Id="rId10" Type="http://schemas.openxmlformats.org/officeDocument/2006/relationships/hyperlink" Target="http://yas.sagepub.com/cgi/reprint/43/1/274?ijkey=arMp.CbjJrK.6&amp;keytype=ref&amp;siteid=spyas" TargetMode="External"/><Relationship Id="rId4" Type="http://schemas.openxmlformats.org/officeDocument/2006/relationships/webSettings" Target="webSettings.xml"/><Relationship Id="rId9" Type="http://schemas.openxmlformats.org/officeDocument/2006/relationships/hyperlink" Target="http://gas.sagepub.com/cgi/reprint/20/6/805?ijkey=dig7zWDIJLofc&amp;keytype=ref&amp;siteid=spga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1506</Words>
  <Characters>8590</Characters>
  <Application>Microsoft Office Word</Application>
  <DocSecurity>0</DocSecurity>
  <Lines>71</Lines>
  <Paragraphs>20</Paragraphs>
  <ScaleCrop>false</ScaleCrop>
  <Company/>
  <LinksUpToDate>false</LinksUpToDate>
  <CharactersWithSpaces>10076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Harvest Moon</dc:creator>
  <cp:lastModifiedBy>Julie Griffin</cp:lastModifiedBy>
  <cp:revision>4</cp:revision>
  <dcterms:created xsi:type="dcterms:W3CDTF">2014-05-31T01:15:00Z</dcterms:created>
  <dcterms:modified xsi:type="dcterms:W3CDTF">2014-06-17T18:07:00Z</dcterms:modified>
</cp:coreProperties>
</file>