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AA6BA" w14:textId="77777777" w:rsidR="00BA7FEA" w:rsidRPr="000D795E" w:rsidRDefault="00524E42" w:rsidP="006E1D8E">
      <w:pPr>
        <w:pStyle w:val="Title"/>
      </w:pPr>
      <w:r>
        <w:t>Solutions</w:t>
      </w:r>
    </w:p>
    <w:p w14:paraId="7B5ADB59" w14:textId="40ADF6E9" w:rsidR="00BA7FEA" w:rsidRPr="006E1D8E" w:rsidRDefault="00524E42" w:rsidP="00BA7FEA">
      <w:pPr>
        <w:pStyle w:val="CM74"/>
        <w:spacing w:line="368" w:lineRule="atLeast"/>
        <w:rPr>
          <w:bCs/>
        </w:rPr>
      </w:pPr>
      <w:r w:rsidRPr="006E1D8E">
        <w:rPr>
          <w:bCs/>
          <w:i/>
        </w:rPr>
        <w:t xml:space="preserve">Note </w:t>
      </w:r>
      <w:r w:rsidR="00BA7FEA" w:rsidRPr="006E1D8E">
        <w:rPr>
          <w:bCs/>
          <w:i/>
        </w:rPr>
        <w:t>to instructors</w:t>
      </w:r>
      <w:r w:rsidR="00BA7FEA" w:rsidRPr="006E1D8E">
        <w:rPr>
          <w:bCs/>
        </w:rPr>
        <w:t>: Based on user feedback, this chapter nonparametric statistics is dropped in the 4e</w:t>
      </w:r>
      <w:r w:rsidRPr="006E1D8E">
        <w:rPr>
          <w:bCs/>
        </w:rPr>
        <w:t>—</w:t>
      </w:r>
      <w:r w:rsidR="00BA7FEA" w:rsidRPr="006E1D8E">
        <w:rPr>
          <w:bCs/>
        </w:rPr>
        <w:t xml:space="preserve">few professors found time for teaching this in whole. While some material is integrated in the 4e chapters, we provide the original 3e solution material with additional exercises for those who might want it or teach it. Hope this helps. </w:t>
      </w:r>
    </w:p>
    <w:p w14:paraId="2F61ABC2" w14:textId="4894BB26" w:rsidR="005C3238" w:rsidRPr="00A728DE" w:rsidRDefault="00BA7FEA" w:rsidP="006E1D8E">
      <w:pPr>
        <w:pStyle w:val="Heading1"/>
      </w:pPr>
      <w:r w:rsidRPr="00A728DE">
        <w:t>C</w:t>
      </w:r>
      <w:r w:rsidR="005C3238" w:rsidRPr="00A728DE">
        <w:t xml:space="preserve">hapter </w:t>
      </w:r>
      <w:r w:rsidRPr="00A728DE">
        <w:t>11:</w:t>
      </w:r>
      <w:r w:rsidR="005C3238" w:rsidRPr="00A728DE">
        <w:t xml:space="preserve"> Measures of Association</w:t>
      </w:r>
    </w:p>
    <w:p w14:paraId="125EC13C" w14:textId="76F4FF77" w:rsidR="00BA7FEA" w:rsidRPr="006E1D8E" w:rsidRDefault="00BA7FEA" w:rsidP="006E1D8E">
      <w:pPr>
        <w:pStyle w:val="Heading2"/>
      </w:pPr>
      <w:r w:rsidRPr="006E1D8E">
        <w:t>C</w:t>
      </w:r>
      <w:r w:rsidR="005C3238" w:rsidRPr="006E1D8E">
        <w:t>ritical</w:t>
      </w:r>
      <w:r w:rsidRPr="006E1D8E">
        <w:t xml:space="preserve"> </w:t>
      </w:r>
      <w:r w:rsidR="005C3238" w:rsidRPr="006E1D8E">
        <w:t>Thinking</w:t>
      </w:r>
    </w:p>
    <w:p w14:paraId="5827E0A1" w14:textId="77777777" w:rsidR="00BA7FEA" w:rsidRDefault="00BA7FEA" w:rsidP="00BA7FEA">
      <w:pPr>
        <w:pStyle w:val="CM73"/>
        <w:spacing w:line="276" w:lineRule="atLeast"/>
      </w:pPr>
      <w:r w:rsidRPr="008D138C">
        <w:rPr>
          <w:b/>
          <w:bCs/>
        </w:rPr>
        <w:t xml:space="preserve">1. Explain why PRE is a measure of the strength </w:t>
      </w:r>
      <w:r>
        <w:rPr>
          <w:b/>
          <w:bCs/>
        </w:rPr>
        <w:t xml:space="preserve">of relationships. </w:t>
      </w:r>
    </w:p>
    <w:p w14:paraId="0CE1656C" w14:textId="77777777" w:rsidR="00BA7FEA" w:rsidRDefault="00120C40" w:rsidP="00BA7FEA">
      <w:pPr>
        <w:pStyle w:val="CM73"/>
        <w:spacing w:line="276" w:lineRule="atLeast"/>
        <w:ind w:right="360"/>
      </w:pPr>
      <w:r>
        <w:t xml:space="preserve">Ans: </w:t>
      </w:r>
      <w:r w:rsidR="00BA7FEA">
        <w:t xml:space="preserve">See p. 189: PRE measures “the extent to which one variable is a good predictor of the other.” You might also show how this definition is reflected in the formula on p. 190. </w:t>
      </w:r>
    </w:p>
    <w:p w14:paraId="3DFC870C" w14:textId="77777777" w:rsidR="00BA7FEA" w:rsidRDefault="00BA7FEA" w:rsidP="00BA7FEA">
      <w:pPr>
        <w:pStyle w:val="CM73"/>
        <w:spacing w:line="276" w:lineRule="atLeast"/>
      </w:pPr>
      <w:r>
        <w:rPr>
          <w:b/>
          <w:bCs/>
        </w:rPr>
        <w:t xml:space="preserve">2. Give some examples of dependent and independent samples. </w:t>
      </w:r>
    </w:p>
    <w:p w14:paraId="1BD5B4A6" w14:textId="77777777" w:rsidR="00BA7FEA" w:rsidRDefault="00120C40" w:rsidP="00BA7FEA">
      <w:pPr>
        <w:pStyle w:val="CM73"/>
        <w:spacing w:line="276" w:lineRule="atLeast"/>
        <w:ind w:right="178"/>
      </w:pPr>
      <w:r>
        <w:t xml:space="preserve">Ans: </w:t>
      </w:r>
      <w:r w:rsidR="00BA7FEA">
        <w:t xml:space="preserve">Most samples are independent samples. The textbook (see p. 166) lists three situations that constitute dependent samples: “(1) the before-and-after test scores of subjects in (quasi-) experimental situations (including other repeated measures of subjects), (2) subjects who have been matched (or paired, that is, chosen as having similar characteristics), and (3) the ratings of evaluators. Matched subjects are necessarily linked across groups.” </w:t>
      </w:r>
    </w:p>
    <w:p w14:paraId="707FFD3F" w14:textId="0CF35583" w:rsidR="00BA7FEA" w:rsidRPr="008D138C" w:rsidRDefault="00BA7FEA" w:rsidP="00BA7FEA">
      <w:pPr>
        <w:pStyle w:val="CM73"/>
        <w:spacing w:line="276" w:lineRule="atLeast"/>
      </w:pPr>
      <w:r>
        <w:rPr>
          <w:b/>
          <w:bCs/>
        </w:rPr>
        <w:t>3. In what ways is</w:t>
      </w:r>
      <w:r w:rsidRPr="008D138C">
        <w:rPr>
          <w:b/>
          <w:bCs/>
        </w:rPr>
        <w:t xml:space="preserve"> </w:t>
      </w:r>
      <w:r w:rsidR="008D138C" w:rsidRPr="006E1D8E">
        <w:rPr>
          <w:b/>
          <w:bCs/>
        </w:rPr>
        <w:t>τ</w:t>
      </w:r>
      <w:r w:rsidRPr="008D138C">
        <w:rPr>
          <w:b/>
          <w:bCs/>
        </w:rPr>
        <w:t xml:space="preserve">-c a more useful measure than </w:t>
      </w:r>
      <w:r w:rsidR="00120C40" w:rsidRPr="008D138C">
        <w:rPr>
          <w:b/>
          <w:bCs/>
        </w:rPr>
        <w:t>χ</w:t>
      </w:r>
      <w:r w:rsidR="00120C40" w:rsidRPr="006E1D8E">
        <w:rPr>
          <w:b/>
          <w:bCs/>
          <w:vertAlign w:val="superscript"/>
        </w:rPr>
        <w:t>2</w:t>
      </w:r>
      <w:r w:rsidRPr="008D138C">
        <w:rPr>
          <w:b/>
          <w:bCs/>
        </w:rPr>
        <w:t xml:space="preserve">? </w:t>
      </w:r>
    </w:p>
    <w:p w14:paraId="79235BE2" w14:textId="77777777" w:rsidR="00BA7FEA" w:rsidRDefault="00120C40" w:rsidP="00BA7FEA">
      <w:pPr>
        <w:pStyle w:val="CM73"/>
        <w:spacing w:line="276" w:lineRule="atLeast"/>
        <w:ind w:right="638"/>
      </w:pPr>
      <w:r>
        <w:t xml:space="preserve">Ans: </w:t>
      </w:r>
      <w:r w:rsidR="00BA7FEA">
        <w:t xml:space="preserve">See p. 188: They provide “information about statistical significance as well as strength and direction.” </w:t>
      </w:r>
    </w:p>
    <w:p w14:paraId="5C88F2FF" w14:textId="6E24481F" w:rsidR="00BA7FEA" w:rsidRDefault="00BA7FEA" w:rsidP="00BA7FEA">
      <w:pPr>
        <w:pStyle w:val="CM73"/>
        <w:spacing w:line="276" w:lineRule="atLeast"/>
        <w:ind w:right="230"/>
      </w:pPr>
      <w:r>
        <w:rPr>
          <w:b/>
          <w:bCs/>
        </w:rPr>
        <w:t xml:space="preserve">4. You have conducted a citizen survey and want to know whether respondents’ assessments about environmental and economic conditions are associated. Both items are measured on a </w:t>
      </w:r>
      <w:r w:rsidR="00120C40">
        <w:rPr>
          <w:b/>
          <w:bCs/>
        </w:rPr>
        <w:t>7</w:t>
      </w:r>
      <w:r>
        <w:rPr>
          <w:b/>
          <w:bCs/>
        </w:rPr>
        <w:t>-point Likert</w:t>
      </w:r>
      <w:r w:rsidR="00120C40">
        <w:rPr>
          <w:b/>
          <w:bCs/>
        </w:rPr>
        <w:t>-type</w:t>
      </w:r>
      <w:r>
        <w:rPr>
          <w:b/>
          <w:bCs/>
        </w:rPr>
        <w:t xml:space="preserve"> scale. Which test statistic might you use, and why? </w:t>
      </w:r>
    </w:p>
    <w:p w14:paraId="0CDF1142" w14:textId="2BF67EE6" w:rsidR="00BA7FEA" w:rsidRDefault="00120C40" w:rsidP="00BA7FEA">
      <w:pPr>
        <w:pStyle w:val="CM73"/>
        <w:spacing w:line="276" w:lineRule="atLeast"/>
        <w:ind w:right="178"/>
      </w:pPr>
      <w:r>
        <w:t xml:space="preserve">Ans: </w:t>
      </w:r>
      <w:r w:rsidR="00BA7FEA">
        <w:t xml:space="preserve">This involves two ordinal-level variables. Hence, gamma, Somer’s </w:t>
      </w:r>
      <w:r w:rsidR="00BA7FEA" w:rsidRPr="006E1D8E">
        <w:rPr>
          <w:i/>
        </w:rPr>
        <w:t>d</w:t>
      </w:r>
      <w:r w:rsidR="00BA7FEA">
        <w:t xml:space="preserve">, or Kendall’s </w:t>
      </w:r>
      <w:r w:rsidR="008D138C" w:rsidRPr="00767297">
        <w:rPr>
          <w:bCs/>
        </w:rPr>
        <w:t>τ</w:t>
      </w:r>
      <w:r w:rsidR="00BA7FEA" w:rsidRPr="008D138C">
        <w:t xml:space="preserve">-b or </w:t>
      </w:r>
      <w:r w:rsidR="008D138C" w:rsidRPr="00343051">
        <w:rPr>
          <w:bCs/>
        </w:rPr>
        <w:t>τ</w:t>
      </w:r>
      <w:r w:rsidR="00BA7FEA" w:rsidRPr="008D138C">
        <w:t xml:space="preserve">-c </w:t>
      </w:r>
      <w:r w:rsidR="00BA7FEA">
        <w:t xml:space="preserve">could be used. </w:t>
      </w:r>
      <w:r w:rsidR="008D138C" w:rsidRPr="00343051">
        <w:rPr>
          <w:bCs/>
        </w:rPr>
        <w:t>τ</w:t>
      </w:r>
      <w:r w:rsidR="00BA7FEA">
        <w:t xml:space="preserve">-b can be used only for square tables, though. Of course, </w:t>
      </w:r>
      <w:r>
        <w:t>χ</w:t>
      </w:r>
      <w:r w:rsidRPr="006E1D8E">
        <w:rPr>
          <w:vertAlign w:val="superscript"/>
        </w:rPr>
        <w:t>2</w:t>
      </w:r>
      <w:r>
        <w:t xml:space="preserve"> </w:t>
      </w:r>
      <w:r w:rsidR="00BA7FEA">
        <w:t xml:space="preserve">can also be used. </w:t>
      </w:r>
    </w:p>
    <w:p w14:paraId="64A5C4AD" w14:textId="17FE93CD" w:rsidR="00BA7FEA" w:rsidRDefault="00BA7FEA" w:rsidP="00BA7FEA">
      <w:pPr>
        <w:pStyle w:val="CM73"/>
        <w:spacing w:line="276" w:lineRule="atLeast"/>
      </w:pPr>
      <w:r>
        <w:rPr>
          <w:b/>
          <w:bCs/>
        </w:rPr>
        <w:t xml:space="preserve">5. You are a senior staff member with the Federal Aviation Administration. Flight delays have been a major issue with the public of late, and one of your contractors has </w:t>
      </w:r>
      <w:r>
        <w:rPr>
          <w:b/>
          <w:bCs/>
        </w:rPr>
        <w:lastRenderedPageBreak/>
        <w:t>proposed a new system that promises to reduce the number of delays that exceed 10 min. To test whether the system works, you will implement it at a major airport and measure delays during the late afternoon rush hour. The average delay will be calculated daily for the late afternoon period. Which test statistic can be used to answer the question of whether the new system has reduced average delays that are greater than 10 min? For this purpose, use a dichotomous variable that measures, for each day, whether the average delay exceeded 10 min. Also, what is the fewest number of days that the airport must implement the system in order to determine (at the 1</w:t>
      </w:r>
      <w:r w:rsidR="00120C40">
        <w:rPr>
          <w:b/>
          <w:bCs/>
        </w:rPr>
        <w:t>%</w:t>
      </w:r>
      <w:r>
        <w:rPr>
          <w:b/>
          <w:bCs/>
        </w:rPr>
        <w:t xml:space="preserve"> level of significance) whether the system effectively reduces the average delay to less than 10 min? </w:t>
      </w:r>
    </w:p>
    <w:p w14:paraId="4677076D" w14:textId="77777777" w:rsidR="00BA7FEA" w:rsidRDefault="00120C40" w:rsidP="00BA7FEA">
      <w:pPr>
        <w:pStyle w:val="CM78"/>
        <w:spacing w:line="276" w:lineRule="atLeast"/>
        <w:ind w:right="178"/>
      </w:pPr>
      <w:r>
        <w:t xml:space="preserve">Ans: </w:t>
      </w:r>
      <w:r w:rsidR="00BA7FEA">
        <w:t xml:space="preserve">The question directs the use of the smallest possible sample, hence, a 2-by-2 table. Numerous statistics could be used. About 30 would be a safe answer, though with a little more effort you can determine which distribution allows for rejecting the null hypothesis of no difference. Consider the following table: </w:t>
      </w:r>
    </w:p>
    <w:tbl>
      <w:tblPr>
        <w:tblStyle w:val="TableGrid"/>
        <w:tblW w:w="3705" w:type="dxa"/>
        <w:tblLook w:val="0000" w:firstRow="0" w:lastRow="0" w:firstColumn="0" w:lastColumn="0" w:noHBand="0" w:noVBand="0"/>
      </w:tblPr>
      <w:tblGrid>
        <w:gridCol w:w="2262"/>
        <w:gridCol w:w="720"/>
        <w:gridCol w:w="723"/>
      </w:tblGrid>
      <w:tr w:rsidR="00BA7FEA" w14:paraId="3A16E382" w14:textId="77777777" w:rsidTr="006E1D8E">
        <w:trPr>
          <w:trHeight w:val="300"/>
        </w:trPr>
        <w:tc>
          <w:tcPr>
            <w:tcW w:w="2263" w:type="dxa"/>
            <w:vMerge w:val="restart"/>
          </w:tcPr>
          <w:p w14:paraId="5F64AD9F" w14:textId="77777777" w:rsidR="00BA7FEA" w:rsidRDefault="00BA7FEA" w:rsidP="00683C41">
            <w:pPr>
              <w:pStyle w:val="Default"/>
              <w:rPr>
                <w:color w:val="auto"/>
              </w:rPr>
            </w:pPr>
          </w:p>
        </w:tc>
        <w:tc>
          <w:tcPr>
            <w:tcW w:w="1443" w:type="dxa"/>
            <w:gridSpan w:val="2"/>
          </w:tcPr>
          <w:p w14:paraId="3465A27A" w14:textId="77777777" w:rsidR="00BA7FEA" w:rsidRPr="00AE7754" w:rsidRDefault="00BA7FEA" w:rsidP="00683C41">
            <w:pPr>
              <w:pStyle w:val="Default"/>
              <w:jc w:val="center"/>
            </w:pPr>
            <w:r w:rsidRPr="006E1D8E">
              <w:rPr>
                <w:bCs/>
              </w:rPr>
              <w:t xml:space="preserve">New System </w:t>
            </w:r>
          </w:p>
        </w:tc>
      </w:tr>
      <w:tr w:rsidR="00BA7FEA" w14:paraId="3977E2C6" w14:textId="77777777" w:rsidTr="006E1D8E">
        <w:trPr>
          <w:trHeight w:val="285"/>
        </w:trPr>
        <w:tc>
          <w:tcPr>
            <w:tcW w:w="2263" w:type="dxa"/>
            <w:vMerge/>
          </w:tcPr>
          <w:p w14:paraId="1B22CD1E" w14:textId="77777777" w:rsidR="00BA7FEA" w:rsidRDefault="00BA7FEA" w:rsidP="00683C41">
            <w:pPr>
              <w:pStyle w:val="Default"/>
              <w:rPr>
                <w:color w:val="auto"/>
              </w:rPr>
            </w:pPr>
          </w:p>
        </w:tc>
        <w:tc>
          <w:tcPr>
            <w:tcW w:w="720" w:type="dxa"/>
          </w:tcPr>
          <w:p w14:paraId="2123B80A" w14:textId="1C78E070" w:rsidR="00BA7FEA" w:rsidRPr="00AE7754" w:rsidRDefault="00BA7FEA">
            <w:pPr>
              <w:pStyle w:val="Default"/>
            </w:pPr>
            <w:r w:rsidRPr="006E1D8E">
              <w:rPr>
                <w:bCs/>
              </w:rPr>
              <w:t>No</w:t>
            </w:r>
          </w:p>
        </w:tc>
        <w:tc>
          <w:tcPr>
            <w:tcW w:w="723" w:type="dxa"/>
          </w:tcPr>
          <w:p w14:paraId="72581DB0" w14:textId="77777777" w:rsidR="00BA7FEA" w:rsidRPr="00AE7754" w:rsidRDefault="00BA7FEA" w:rsidP="00683C41">
            <w:pPr>
              <w:pStyle w:val="Default"/>
              <w:jc w:val="center"/>
            </w:pPr>
            <w:r w:rsidRPr="006E1D8E">
              <w:rPr>
                <w:bCs/>
              </w:rPr>
              <w:t xml:space="preserve">Yes </w:t>
            </w:r>
          </w:p>
        </w:tc>
      </w:tr>
      <w:tr w:rsidR="00BA7FEA" w14:paraId="33B83F21" w14:textId="77777777" w:rsidTr="006E1D8E">
        <w:trPr>
          <w:trHeight w:val="285"/>
        </w:trPr>
        <w:tc>
          <w:tcPr>
            <w:tcW w:w="2263" w:type="dxa"/>
          </w:tcPr>
          <w:p w14:paraId="474386E4" w14:textId="6446EEAB" w:rsidR="00BA7FEA" w:rsidRDefault="00BA7FEA" w:rsidP="00E43138">
            <w:pPr>
              <w:pStyle w:val="Default"/>
            </w:pPr>
            <w:r>
              <w:t xml:space="preserve">Delay &lt; 10 min </w:t>
            </w:r>
          </w:p>
        </w:tc>
        <w:tc>
          <w:tcPr>
            <w:tcW w:w="720" w:type="dxa"/>
          </w:tcPr>
          <w:p w14:paraId="049AC52E" w14:textId="77777777" w:rsidR="00BA7FEA" w:rsidRDefault="00BA7FEA" w:rsidP="00683C41">
            <w:pPr>
              <w:pStyle w:val="Default"/>
              <w:jc w:val="center"/>
            </w:pPr>
            <w:r>
              <w:t xml:space="preserve">0 </w:t>
            </w:r>
          </w:p>
        </w:tc>
        <w:tc>
          <w:tcPr>
            <w:tcW w:w="723" w:type="dxa"/>
          </w:tcPr>
          <w:p w14:paraId="408B1BDA" w14:textId="77777777" w:rsidR="00BA7FEA" w:rsidRDefault="00BA7FEA" w:rsidP="00683C41">
            <w:pPr>
              <w:pStyle w:val="Default"/>
              <w:jc w:val="center"/>
            </w:pPr>
            <w:r>
              <w:t xml:space="preserve">4 </w:t>
            </w:r>
          </w:p>
        </w:tc>
      </w:tr>
      <w:tr w:rsidR="00BA7FEA" w14:paraId="27F5D119" w14:textId="77777777" w:rsidTr="006E1D8E">
        <w:trPr>
          <w:trHeight w:val="288"/>
        </w:trPr>
        <w:tc>
          <w:tcPr>
            <w:tcW w:w="2263" w:type="dxa"/>
          </w:tcPr>
          <w:p w14:paraId="3E5AB306" w14:textId="103F08FD" w:rsidR="00BA7FEA" w:rsidRDefault="00BA7FEA" w:rsidP="00E43138">
            <w:pPr>
              <w:pStyle w:val="Default"/>
            </w:pPr>
            <w:r>
              <w:t xml:space="preserve">Delay &gt; 10 min </w:t>
            </w:r>
          </w:p>
        </w:tc>
        <w:tc>
          <w:tcPr>
            <w:tcW w:w="720" w:type="dxa"/>
          </w:tcPr>
          <w:p w14:paraId="3892C572" w14:textId="77777777" w:rsidR="00BA7FEA" w:rsidRDefault="00BA7FEA" w:rsidP="00683C41">
            <w:pPr>
              <w:pStyle w:val="Default"/>
              <w:jc w:val="center"/>
            </w:pPr>
            <w:r>
              <w:t xml:space="preserve">4 </w:t>
            </w:r>
          </w:p>
        </w:tc>
        <w:tc>
          <w:tcPr>
            <w:tcW w:w="723" w:type="dxa"/>
          </w:tcPr>
          <w:p w14:paraId="71AD7F34" w14:textId="77777777" w:rsidR="00BA7FEA" w:rsidRDefault="00BA7FEA" w:rsidP="00683C41">
            <w:pPr>
              <w:pStyle w:val="Default"/>
              <w:jc w:val="center"/>
            </w:pPr>
            <w:r>
              <w:t xml:space="preserve">0 </w:t>
            </w:r>
          </w:p>
        </w:tc>
      </w:tr>
    </w:tbl>
    <w:p w14:paraId="1C637271" w14:textId="77777777" w:rsidR="00BA7FEA" w:rsidRDefault="00BA7FEA" w:rsidP="00BA7FEA">
      <w:pPr>
        <w:pStyle w:val="Default"/>
        <w:rPr>
          <w:color w:val="auto"/>
        </w:rPr>
      </w:pPr>
    </w:p>
    <w:p w14:paraId="2E2A2208" w14:textId="431D5ED0" w:rsidR="00BA7FEA" w:rsidRDefault="00BA7FEA" w:rsidP="00BA7FEA">
      <w:pPr>
        <w:pStyle w:val="CM73"/>
        <w:spacing w:line="276" w:lineRule="atLeast"/>
        <w:ind w:right="105"/>
      </w:pPr>
      <w:r>
        <w:t xml:space="preserve">Using Goodman and Kruskal’s </w:t>
      </w:r>
      <w:r w:rsidR="008D138C" w:rsidRPr="00343051">
        <w:rPr>
          <w:bCs/>
        </w:rPr>
        <w:t>τ</w:t>
      </w:r>
      <w:r w:rsidRPr="008D138C">
        <w:t xml:space="preserve">, </w:t>
      </w:r>
      <w:r>
        <w:t xml:space="preserve">we find that </w:t>
      </w:r>
      <w:r w:rsidR="008D138C" w:rsidRPr="00343051">
        <w:rPr>
          <w:bCs/>
        </w:rPr>
        <w:t>τ</w:t>
      </w:r>
      <w:r w:rsidRPr="008D138C">
        <w:t xml:space="preserve"> = 1; </w:t>
      </w:r>
      <w:r w:rsidRPr="006E1D8E">
        <w:rPr>
          <w:i/>
        </w:rPr>
        <w:t>p</w:t>
      </w:r>
      <w:r w:rsidRPr="008D138C">
        <w:t xml:space="preserve"> = .008, &lt; .01. Thus, measuring the </w:t>
      </w:r>
      <w:r>
        <w:t xml:space="preserve">performance over </w:t>
      </w:r>
      <w:r w:rsidR="00637F09">
        <w:t xml:space="preserve">4 </w:t>
      </w:r>
      <w:r>
        <w:t xml:space="preserve">days with the system and </w:t>
      </w:r>
      <w:r w:rsidR="00637F09">
        <w:t xml:space="preserve">4 </w:t>
      </w:r>
      <w:r>
        <w:t>days without the system could be sufficient to determine its effectiveness, if we wanted to do so at the 1</w:t>
      </w:r>
      <w:r w:rsidR="00637F09">
        <w:t>%</w:t>
      </w:r>
      <w:r>
        <w:t xml:space="preserve"> level of significance. (Note that </w:t>
      </w:r>
      <w:r w:rsidR="00637F09">
        <w:t>χ</w:t>
      </w:r>
      <w:r w:rsidR="00637F09" w:rsidRPr="006E1D8E">
        <w:rPr>
          <w:vertAlign w:val="superscript"/>
        </w:rPr>
        <w:t>2</w:t>
      </w:r>
      <w:r w:rsidR="00637F09">
        <w:t xml:space="preserve"> </w:t>
      </w:r>
      <w:r>
        <w:t xml:space="preserve">should not be used here, because all cells have expected counts of less than five.) Of course, if other outcomes are to be allowed (such as at least </w:t>
      </w:r>
      <w:r w:rsidR="00637F09">
        <w:t xml:space="preserve">1 </w:t>
      </w:r>
      <w:r>
        <w:t xml:space="preserve">day with the system that does not produce a delay of less than 10 min), then a larger sample size is needed. Also, even though the preceding table looks as if we could also use the McNemar test, the sample is neither paired nor are we narrowly interested in comparing dissimilar pairs. </w:t>
      </w:r>
    </w:p>
    <w:p w14:paraId="2168639A" w14:textId="05AE9BB2" w:rsidR="00BA7FEA" w:rsidRDefault="00BA7FEA" w:rsidP="00BA7FEA">
      <w:pPr>
        <w:pStyle w:val="CM73"/>
        <w:spacing w:line="276" w:lineRule="atLeast"/>
        <w:ind w:right="105"/>
      </w:pPr>
      <w:r>
        <w:rPr>
          <w:b/>
          <w:bCs/>
        </w:rPr>
        <w:t xml:space="preserve">6. You are a manager with a state employment agency. In one of your districts, managers have implemented a new program and after </w:t>
      </w:r>
      <w:r w:rsidR="00637F09">
        <w:rPr>
          <w:b/>
          <w:bCs/>
        </w:rPr>
        <w:t xml:space="preserve">6 </w:t>
      </w:r>
      <w:r>
        <w:rPr>
          <w:b/>
          <w:bCs/>
        </w:rPr>
        <w:t>months of trial (and error), it is decided to bring in a panel of outside experts to evaluate it. You would like to have the option to later disregard any evaluator whose assessment sharply disagrees with others. How many experts should you bring in? How many different aspects should they each evaluate? Should they evaluate the same aspects or different aspects? Which statistical test should you use, and how does that affect your answer?</w:t>
      </w:r>
    </w:p>
    <w:p w14:paraId="3CC1C47E" w14:textId="1697BC08" w:rsidR="00BA7FEA" w:rsidRDefault="00637F09" w:rsidP="00BA7FEA">
      <w:pPr>
        <w:pStyle w:val="CM73"/>
        <w:spacing w:line="276" w:lineRule="atLeast"/>
      </w:pPr>
      <w:r>
        <w:t xml:space="preserve">Ans: </w:t>
      </w:r>
      <w:r w:rsidR="00BA7FEA">
        <w:t>To later disregard any expert, at least three evaluators should be brought in. This allows you to distinguish one evaluator who strongly differs from the other two who (we hope) agree. However, it would be even better to bring in four or five for the same reason.</w:t>
      </w:r>
    </w:p>
    <w:p w14:paraId="709BDC6E" w14:textId="77777777" w:rsidR="00BA7FEA" w:rsidRDefault="00BA7FEA" w:rsidP="00BA7FEA">
      <w:pPr>
        <w:pStyle w:val="CM73"/>
        <w:spacing w:line="276" w:lineRule="atLeast"/>
      </w:pPr>
      <w:r>
        <w:t xml:space="preserve">To determine whether evaluators agree, using the Friedman test, in which evaluators must be asked to evaluate a pool of common items. Some may be asked additional, different items reflecting, for example, special expertise. In this regard, at least 10 common items, and </w:t>
      </w:r>
      <w:r>
        <w:lastRenderedPageBreak/>
        <w:t xml:space="preserve">preferably 20 items, should be evaluated so that the Friedman test can be used to determine whether differences exist. </w:t>
      </w:r>
    </w:p>
    <w:p w14:paraId="26644CD1" w14:textId="0665C956" w:rsidR="00BA7FEA" w:rsidRDefault="00BA7FEA" w:rsidP="00BA7FEA">
      <w:pPr>
        <w:pStyle w:val="CM73"/>
        <w:spacing w:line="276" w:lineRule="atLeast"/>
        <w:ind w:right="178"/>
      </w:pPr>
      <w:r>
        <w:rPr>
          <w:b/>
          <w:bCs/>
        </w:rPr>
        <w:t xml:space="preserve">7. As a manager, you want to know whether your employees are treating service requests from </w:t>
      </w:r>
      <w:r w:rsidR="00637F09">
        <w:rPr>
          <w:b/>
          <w:bCs/>
        </w:rPr>
        <w:t xml:space="preserve">White </w:t>
      </w:r>
      <w:r>
        <w:rPr>
          <w:b/>
          <w:bCs/>
        </w:rPr>
        <w:t xml:space="preserve">and minority program clients in a similar manner. You decide to send pairs </w:t>
      </w:r>
      <w:r w:rsidRPr="002935D1">
        <w:rPr>
          <w:b/>
          <w:bCs/>
        </w:rPr>
        <w:t xml:space="preserve">of </w:t>
      </w:r>
      <w:r w:rsidR="00637F09" w:rsidRPr="002935D1">
        <w:rPr>
          <w:b/>
          <w:bCs/>
        </w:rPr>
        <w:t xml:space="preserve">White </w:t>
      </w:r>
      <w:r w:rsidRPr="002935D1">
        <w:rPr>
          <w:b/>
          <w:bCs/>
        </w:rPr>
        <w:t xml:space="preserve">and </w:t>
      </w:r>
      <w:r>
        <w:rPr>
          <w:b/>
          <w:bCs/>
        </w:rPr>
        <w:t xml:space="preserve">minority testers to your agencies with similar service requests. Which test statistic might you use, and why? </w:t>
      </w:r>
    </w:p>
    <w:p w14:paraId="70E3B448" w14:textId="09E9AA2F" w:rsidR="00BA7FEA" w:rsidRDefault="00637F09" w:rsidP="00BA7FEA">
      <w:pPr>
        <w:pStyle w:val="CM73"/>
        <w:spacing w:line="276" w:lineRule="atLeast"/>
        <w:ind w:right="360"/>
      </w:pPr>
      <w:r>
        <w:t xml:space="preserve">Ans: </w:t>
      </w:r>
      <w:r w:rsidR="00BA7FEA">
        <w:t>The question could be set up as a classic paired observations case (the paired event is the service request) in which dissimilar pairs are contrasted. Then, the McNemar test should be used.</w:t>
      </w:r>
    </w:p>
    <w:p w14:paraId="6A881D7F" w14:textId="77777777" w:rsidR="00BA7FEA" w:rsidRDefault="00BA7FEA" w:rsidP="00BA7FEA">
      <w:pPr>
        <w:pStyle w:val="CM73"/>
        <w:spacing w:line="276" w:lineRule="atLeast"/>
        <w:ind w:right="230"/>
      </w:pPr>
      <w:r>
        <w:rPr>
          <w:b/>
          <w:bCs/>
        </w:rPr>
        <w:t>8. If you wanted to examine the effects of different job training programs on employment outcomes, which statistical test would you use, and why? (</w:t>
      </w:r>
      <w:r>
        <w:rPr>
          <w:b/>
          <w:bCs/>
          <w:i/>
          <w:iCs/>
        </w:rPr>
        <w:t xml:space="preserve">Note: </w:t>
      </w:r>
      <w:r>
        <w:rPr>
          <w:b/>
          <w:bCs/>
        </w:rPr>
        <w:t xml:space="preserve">Answers vary depending on the level of measurement you choose with regard to these variables.) </w:t>
      </w:r>
    </w:p>
    <w:p w14:paraId="7BC18D72" w14:textId="184759B3" w:rsidR="00BA7FEA" w:rsidRDefault="00637F09" w:rsidP="006E1D8E">
      <w:pPr>
        <w:pStyle w:val="CM83"/>
        <w:spacing w:line="276" w:lineRule="atLeast"/>
        <w:ind w:right="178"/>
      </w:pPr>
      <w:r>
        <w:t xml:space="preserve">Ans: </w:t>
      </w:r>
      <w:r w:rsidR="00BA7FEA">
        <w:t>Answers depend on the level of variables. The phrasing challenges students to go beyond thinking that there is only one correct answer. We might assume that “different training programs” is a nominal variable (</w:t>
      </w:r>
      <w:r w:rsidR="00E57125">
        <w:t xml:space="preserve">Program </w:t>
      </w:r>
      <w:r w:rsidR="00BA7FEA">
        <w:t xml:space="preserve">A, </w:t>
      </w:r>
      <w:r w:rsidR="00E57125">
        <w:t xml:space="preserve">Program </w:t>
      </w:r>
      <w:r w:rsidR="00BA7FEA">
        <w:t>B, etc</w:t>
      </w:r>
      <w:r>
        <w:t>.</w:t>
      </w:r>
      <w:r w:rsidR="00BA7FEA">
        <w:t xml:space="preserve">). The variable “employment outcomes” could be construed as either nominal or ordinal (“applied for job,” “got an interview offer,” “got a job”). If nominal, Goodman and Kruskal’s </w:t>
      </w:r>
      <w:r w:rsidR="008D138C" w:rsidRPr="00343051">
        <w:rPr>
          <w:bCs/>
        </w:rPr>
        <w:t>τ</w:t>
      </w:r>
      <w:r w:rsidR="00BA7FEA" w:rsidRPr="008D138C">
        <w:t xml:space="preserve"> or </w:t>
      </w:r>
      <w:r w:rsidRPr="008D138C">
        <w:t>χ</w:t>
      </w:r>
      <w:r w:rsidRPr="006E1D8E">
        <w:rPr>
          <w:vertAlign w:val="superscript"/>
        </w:rPr>
        <w:t>2</w:t>
      </w:r>
      <w:r w:rsidRPr="008D138C">
        <w:t xml:space="preserve"> </w:t>
      </w:r>
      <w:r w:rsidR="00BA7FEA" w:rsidRPr="008D138C">
        <w:t>might be used. If ordinal, then Kruskal</w:t>
      </w:r>
      <w:r w:rsidRPr="008D138C">
        <w:t>–</w:t>
      </w:r>
      <w:r w:rsidR="00BA7FEA" w:rsidRPr="006F4090">
        <w:t xml:space="preserve">Wallis’ </w:t>
      </w:r>
      <w:r w:rsidR="00BA7FEA" w:rsidRPr="006E1D8E">
        <w:rPr>
          <w:i/>
        </w:rPr>
        <w:t>H</w:t>
      </w:r>
      <w:r w:rsidR="00BA7FEA" w:rsidRPr="006F4090">
        <w:t xml:space="preserve"> might be used, whereby the program type is the grouping variable and employment outcome </w:t>
      </w:r>
      <w:r w:rsidR="00BA7FEA">
        <w:t xml:space="preserve">is the rating variable (thinking along the lines of </w:t>
      </w:r>
      <w:r>
        <w:t>analysis of variance</w:t>
      </w:r>
      <w:r w:rsidR="00BA7FEA">
        <w:t>). If differences are found, subsequent analysis would try to describe the exact nature of the differences.</w:t>
      </w:r>
    </w:p>
    <w:p w14:paraId="4B5C598F" w14:textId="00823826" w:rsidR="00BA7FEA" w:rsidRDefault="00BA7FEA" w:rsidP="00BA7FEA">
      <w:pPr>
        <w:pStyle w:val="CM73"/>
        <w:spacing w:line="276" w:lineRule="atLeast"/>
        <w:ind w:right="230"/>
      </w:pPr>
      <w:r>
        <w:rPr>
          <w:b/>
          <w:bCs/>
        </w:rPr>
        <w:t>9. Identify questions that can be addressed using the following tests: Mann</w:t>
      </w:r>
      <w:r w:rsidR="00637F09">
        <w:rPr>
          <w:b/>
          <w:bCs/>
        </w:rPr>
        <w:t>–</w:t>
      </w:r>
      <w:r>
        <w:rPr>
          <w:b/>
          <w:bCs/>
        </w:rPr>
        <w:t xml:space="preserve">Whitney test, McNemar test, </w:t>
      </w:r>
      <w:r w:rsidR="00637F09">
        <w:rPr>
          <w:b/>
          <w:bCs/>
        </w:rPr>
        <w:t>χ</w:t>
      </w:r>
      <w:r w:rsidR="00637F09" w:rsidRPr="006E1D8E">
        <w:rPr>
          <w:b/>
          <w:bCs/>
          <w:vertAlign w:val="superscript"/>
        </w:rPr>
        <w:t>2</w:t>
      </w:r>
      <w:r>
        <w:rPr>
          <w:b/>
          <w:bCs/>
        </w:rPr>
        <w:t xml:space="preserve">, and Kendall’s </w:t>
      </w:r>
      <w:r w:rsidR="008D138C" w:rsidRPr="006E1D8E">
        <w:rPr>
          <w:b/>
          <w:bCs/>
        </w:rPr>
        <w:t>τ</w:t>
      </w:r>
      <w:r>
        <w:rPr>
          <w:b/>
          <w:bCs/>
        </w:rPr>
        <w:t>-c. Identify one question per test.</w:t>
      </w:r>
    </w:p>
    <w:p w14:paraId="30E49931" w14:textId="4D28488F" w:rsidR="00BA7FEA" w:rsidRDefault="00637F09" w:rsidP="00BA7FEA">
      <w:pPr>
        <w:pStyle w:val="CM74"/>
        <w:spacing w:line="276" w:lineRule="atLeast"/>
      </w:pPr>
      <w:r>
        <w:t xml:space="preserve">Ans: </w:t>
      </w:r>
      <w:r w:rsidR="00BA7FEA">
        <w:t>This question is apt to really test comprehension. (a) The Mann</w:t>
      </w:r>
      <w:r>
        <w:t>–</w:t>
      </w:r>
      <w:r w:rsidR="00BA7FEA">
        <w:t xml:space="preserve">Whitney test is used to test whether two samples come from the same population, by comparing mean ranks. For example, does a sample of 20 men and women have different attitudes about welfare? (b) The McNemar test is </w:t>
      </w:r>
      <w:r w:rsidR="00BA7FEA" w:rsidRPr="008D138C">
        <w:t>a paired</w:t>
      </w:r>
      <w:r w:rsidR="008D138C" w:rsidRPr="006E1D8E">
        <w:t xml:space="preserve"> </w:t>
      </w:r>
      <w:r w:rsidR="00BA7FEA" w:rsidRPr="008D138C">
        <w:t>samples t</w:t>
      </w:r>
      <w:r w:rsidR="00BA7FEA">
        <w:t xml:space="preserve">est of dissimilar pairs: for example, do </w:t>
      </w:r>
      <w:r>
        <w:t xml:space="preserve">White </w:t>
      </w:r>
      <w:r w:rsidR="00BA7FEA">
        <w:t>and minority clients receive difference responses to their service inquiries? (c)</w:t>
      </w:r>
      <w:r w:rsidR="00BA7FEA" w:rsidRPr="008D138C">
        <w:t xml:space="preserve"> </w:t>
      </w:r>
      <w:r w:rsidR="008D138C" w:rsidRPr="006E1D8E">
        <w:rPr>
          <w:bCs/>
        </w:rPr>
        <w:t>χ</w:t>
      </w:r>
      <w:r w:rsidR="008D138C" w:rsidRPr="006E1D8E">
        <w:rPr>
          <w:bCs/>
          <w:vertAlign w:val="superscript"/>
        </w:rPr>
        <w:t>2</w:t>
      </w:r>
      <w:r w:rsidR="00BA7FEA" w:rsidRPr="008D138C">
        <w:t xml:space="preserve"> is a measure of association that has broad application. For example, do </w:t>
      </w:r>
      <w:r w:rsidR="00BA7FEA">
        <w:t>men and women differ in their perception of workplace discrimination? (d</w:t>
      </w:r>
      <w:r w:rsidR="00BA7FEA" w:rsidRPr="008D138C">
        <w:t xml:space="preserve">) Kendall’s </w:t>
      </w:r>
      <w:r w:rsidR="008D138C" w:rsidRPr="008D138C">
        <w:rPr>
          <w:bCs/>
        </w:rPr>
        <w:t>τ</w:t>
      </w:r>
      <w:r w:rsidR="00BA7FEA" w:rsidRPr="008D138C">
        <w:t xml:space="preserve">-c is a measure </w:t>
      </w:r>
      <w:r w:rsidR="00BA7FEA">
        <w:t xml:space="preserve">of association for two ordinal-level variables. Are two survey questions associated, when both are measured on a </w:t>
      </w:r>
      <w:r>
        <w:t>5-</w:t>
      </w:r>
      <w:r w:rsidR="00BA7FEA">
        <w:t>point Likert</w:t>
      </w:r>
      <w:r>
        <w:t>-type</w:t>
      </w:r>
      <w:r w:rsidR="00BA7FEA">
        <w:t xml:space="preserve"> scale? </w:t>
      </w:r>
    </w:p>
    <w:p w14:paraId="4CD5C943" w14:textId="5F9560A0" w:rsidR="00BA7FEA" w:rsidRDefault="00637F09" w:rsidP="006E1D8E">
      <w:pPr>
        <w:pStyle w:val="Heading2"/>
      </w:pPr>
      <w:r>
        <w:t>Data</w:t>
      </w:r>
      <w:r w:rsidR="00BA7FEA">
        <w:t>-</w:t>
      </w:r>
      <w:r>
        <w:t>Based Exercises</w:t>
      </w:r>
    </w:p>
    <w:p w14:paraId="4096EEB9" w14:textId="1E992479" w:rsidR="00BA7FEA" w:rsidRDefault="00BA7FEA" w:rsidP="00BA7FEA">
      <w:pPr>
        <w:pStyle w:val="CM73"/>
        <w:spacing w:line="276" w:lineRule="atLeast"/>
      </w:pPr>
      <w:r>
        <w:rPr>
          <w:b/>
          <w:bCs/>
        </w:rPr>
        <w:t>1. Use the Public Perceptions data</w:t>
      </w:r>
      <w:r w:rsidR="00637F09">
        <w:rPr>
          <w:b/>
          <w:bCs/>
        </w:rPr>
        <w:t xml:space="preserve"> </w:t>
      </w:r>
      <w:r>
        <w:rPr>
          <w:b/>
          <w:bCs/>
        </w:rPr>
        <w:t xml:space="preserve">set. Previously, in Chapter 10 of this workbook, we used </w:t>
      </w:r>
      <w:r w:rsidR="00637F09">
        <w:rPr>
          <w:b/>
          <w:bCs/>
        </w:rPr>
        <w:t>χ</w:t>
      </w:r>
      <w:r w:rsidR="00637F09" w:rsidRPr="006E1D8E">
        <w:rPr>
          <w:b/>
          <w:bCs/>
          <w:vertAlign w:val="superscript"/>
        </w:rPr>
        <w:t>2</w:t>
      </w:r>
      <w:r w:rsidR="00637F09">
        <w:rPr>
          <w:b/>
          <w:bCs/>
        </w:rPr>
        <w:t xml:space="preserve"> </w:t>
      </w:r>
      <w:r>
        <w:rPr>
          <w:b/>
          <w:bCs/>
        </w:rPr>
        <w:t xml:space="preserve">to examine the relationship between residents who trust the county government to do what is right most of the time (Trust) and their belief that county government </w:t>
      </w:r>
      <w:r>
        <w:rPr>
          <w:b/>
          <w:bCs/>
        </w:rPr>
        <w:lastRenderedPageBreak/>
        <w:t xml:space="preserve">works efficiently (Works). Reexamine this relationship using measures of gamma, Somer’s d, Kendall’s </w:t>
      </w:r>
      <w:r w:rsidR="008D138C" w:rsidRPr="006E1D8E">
        <w:rPr>
          <w:b/>
          <w:bCs/>
        </w:rPr>
        <w:t>τ</w:t>
      </w:r>
      <w:r>
        <w:rPr>
          <w:b/>
          <w:bCs/>
        </w:rPr>
        <w:t xml:space="preserve">-b, and Kendall’s </w:t>
      </w:r>
      <w:r w:rsidR="008D138C" w:rsidRPr="006E1D8E">
        <w:rPr>
          <w:b/>
          <w:bCs/>
        </w:rPr>
        <w:t>τ</w:t>
      </w:r>
      <w:r>
        <w:rPr>
          <w:b/>
          <w:bCs/>
        </w:rPr>
        <w:t xml:space="preserve">-c. What do you conclude? </w:t>
      </w:r>
    </w:p>
    <w:p w14:paraId="362533E7" w14:textId="7F6BE331" w:rsidR="00BA7FEA" w:rsidRDefault="00637F09" w:rsidP="006E1D8E">
      <w:pPr>
        <w:pStyle w:val="CM73"/>
        <w:spacing w:line="276" w:lineRule="atLeast"/>
      </w:pPr>
      <w:r>
        <w:t xml:space="preserve">Ans: </w:t>
      </w:r>
      <w:r w:rsidR="00BA7FEA">
        <w:t xml:space="preserve">First, recode the categories on both scales, so that the order is Yes, Can’t Say, and No. All of the measures are highly significant. Kendall’s </w:t>
      </w:r>
      <w:r w:rsidR="008D138C" w:rsidRPr="00343051">
        <w:rPr>
          <w:bCs/>
        </w:rPr>
        <w:t>τ</w:t>
      </w:r>
      <w:r w:rsidR="00BA7FEA">
        <w:t xml:space="preserve">-c has the lowest PRE value, .346. </w:t>
      </w:r>
    </w:p>
    <w:p w14:paraId="4C44E894" w14:textId="77777777" w:rsidR="00BA7FEA" w:rsidRDefault="00BA7FEA" w:rsidP="00BA7FEA">
      <w:pPr>
        <w:pStyle w:val="Default"/>
        <w:rPr>
          <w:color w:val="auto"/>
        </w:rPr>
      </w:pPr>
      <w:r>
        <w:rPr>
          <w:noProof/>
          <w:color w:val="auto"/>
        </w:rPr>
        <w:drawing>
          <wp:inline distT="0" distB="0" distL="0" distR="0" wp14:anchorId="298CA9A8" wp14:editId="145554F2">
            <wp:extent cx="4114800" cy="17526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4114800" cy="1752600"/>
                    </a:xfrm>
                    <a:prstGeom prst="rect">
                      <a:avLst/>
                    </a:prstGeom>
                    <a:noFill/>
                    <a:ln w="9525">
                      <a:noFill/>
                      <a:miter lim="800000"/>
                      <a:headEnd/>
                      <a:tailEnd/>
                    </a:ln>
                  </pic:spPr>
                </pic:pic>
              </a:graphicData>
            </a:graphic>
          </wp:inline>
        </w:drawing>
      </w:r>
    </w:p>
    <w:p w14:paraId="0A9B506F" w14:textId="5BDDF0ED" w:rsidR="00BA7FEA" w:rsidRPr="003C0183" w:rsidRDefault="00BA7FEA" w:rsidP="00BA7FEA">
      <w:pPr>
        <w:pStyle w:val="CM81"/>
        <w:ind w:left="9000"/>
      </w:pPr>
    </w:p>
    <w:p w14:paraId="03695D90" w14:textId="68F7DA8A" w:rsidR="00BA7FEA" w:rsidRDefault="008D138C" w:rsidP="00BA7FEA">
      <w:pPr>
        <w:pStyle w:val="CM75"/>
        <w:ind w:left="1573" w:right="6513"/>
        <w:rPr>
          <w:rFonts w:ascii="Arial" w:hAnsi="Arial" w:cs="Arial"/>
          <w:sz w:val="14"/>
          <w:szCs w:val="14"/>
        </w:rPr>
      </w:pPr>
      <w:r w:rsidRPr="003C0183">
        <w:rPr>
          <w:b/>
          <w:bCs/>
        </w:rPr>
        <w:t>χ</w:t>
      </w:r>
      <w:r w:rsidRPr="003C0183">
        <w:rPr>
          <w:b/>
          <w:bCs/>
          <w:vertAlign w:val="superscript"/>
        </w:rPr>
        <w:t>2</w:t>
      </w:r>
      <w:r w:rsidR="00BA7FEA" w:rsidRPr="003C0183">
        <w:rPr>
          <w:rFonts w:ascii="Arial" w:hAnsi="Arial" w:cs="Arial"/>
          <w:b/>
          <w:bCs/>
          <w:sz w:val="14"/>
          <w:szCs w:val="14"/>
        </w:rPr>
        <w:t xml:space="preserve"> T</w:t>
      </w:r>
      <w:r w:rsidR="00BA7FEA">
        <w:rPr>
          <w:rFonts w:ascii="Arial" w:hAnsi="Arial" w:cs="Arial"/>
          <w:b/>
          <w:bCs/>
          <w:sz w:val="14"/>
          <w:szCs w:val="14"/>
        </w:rPr>
        <w:t xml:space="preserve">ests </w:t>
      </w:r>
    </w:p>
    <w:tbl>
      <w:tblPr>
        <w:tblW w:w="4065" w:type="dxa"/>
        <w:tblLook w:val="0000" w:firstRow="0" w:lastRow="0" w:firstColumn="0" w:lastColumn="0" w:noHBand="0" w:noVBand="0"/>
      </w:tblPr>
      <w:tblGrid>
        <w:gridCol w:w="1466"/>
        <w:gridCol w:w="792"/>
        <w:gridCol w:w="530"/>
        <w:gridCol w:w="294"/>
        <w:gridCol w:w="983"/>
      </w:tblGrid>
      <w:tr w:rsidR="00BA7FEA" w14:paraId="03B7487B" w14:textId="77777777" w:rsidTr="00683C41">
        <w:trPr>
          <w:trHeight w:val="365"/>
        </w:trPr>
        <w:tc>
          <w:tcPr>
            <w:tcW w:w="1475" w:type="dxa"/>
            <w:tcBorders>
              <w:top w:val="single" w:sz="10" w:space="0" w:color="000000"/>
              <w:left w:val="single" w:sz="10" w:space="0" w:color="000000"/>
              <w:bottom w:val="single" w:sz="10" w:space="0" w:color="000000"/>
              <w:right w:val="single" w:sz="10" w:space="0" w:color="000000"/>
            </w:tcBorders>
          </w:tcPr>
          <w:p w14:paraId="7C37095E" w14:textId="77777777" w:rsidR="00BA7FEA" w:rsidRDefault="00BA7FEA" w:rsidP="00683C41">
            <w:pPr>
              <w:pStyle w:val="Default"/>
              <w:rPr>
                <w:color w:val="auto"/>
              </w:rPr>
            </w:pPr>
          </w:p>
        </w:tc>
        <w:tc>
          <w:tcPr>
            <w:tcW w:w="793" w:type="dxa"/>
            <w:tcBorders>
              <w:top w:val="single" w:sz="10" w:space="0" w:color="000000"/>
              <w:left w:val="single" w:sz="10" w:space="0" w:color="000000"/>
              <w:bottom w:val="single" w:sz="10" w:space="0" w:color="000000"/>
              <w:right w:val="single" w:sz="4" w:space="0" w:color="000000"/>
            </w:tcBorders>
            <w:vAlign w:val="bottom"/>
          </w:tcPr>
          <w:p w14:paraId="666F53DB" w14:textId="77777777" w:rsidR="00BA7FEA" w:rsidRDefault="00BA7FEA" w:rsidP="00683C41">
            <w:pPr>
              <w:pStyle w:val="Default"/>
              <w:jc w:val="center"/>
              <w:rPr>
                <w:rFonts w:ascii="Arial" w:hAnsi="Arial" w:cs="Arial"/>
                <w:sz w:val="14"/>
                <w:szCs w:val="14"/>
              </w:rPr>
            </w:pPr>
            <w:r>
              <w:rPr>
                <w:rFonts w:ascii="Arial" w:hAnsi="Arial" w:cs="Arial"/>
                <w:sz w:val="14"/>
                <w:szCs w:val="14"/>
              </w:rPr>
              <w:t xml:space="preserve">Value </w:t>
            </w:r>
          </w:p>
        </w:tc>
        <w:tc>
          <w:tcPr>
            <w:tcW w:w="533" w:type="dxa"/>
            <w:tcBorders>
              <w:top w:val="single" w:sz="10" w:space="0" w:color="000000"/>
              <w:left w:val="single" w:sz="4" w:space="0" w:color="000000"/>
              <w:bottom w:val="single" w:sz="10" w:space="0" w:color="000000"/>
            </w:tcBorders>
            <w:vAlign w:val="bottom"/>
          </w:tcPr>
          <w:p w14:paraId="57F0EA60" w14:textId="0787D733" w:rsidR="00BA7FEA" w:rsidRPr="006E1D8E" w:rsidRDefault="00BA7FEA" w:rsidP="00683C41">
            <w:pPr>
              <w:pStyle w:val="Default"/>
              <w:jc w:val="right"/>
              <w:rPr>
                <w:rFonts w:ascii="Arial" w:hAnsi="Arial" w:cs="Arial"/>
                <w:i/>
                <w:sz w:val="14"/>
                <w:szCs w:val="14"/>
              </w:rPr>
            </w:pPr>
            <w:r w:rsidRPr="006E1D8E">
              <w:rPr>
                <w:rFonts w:ascii="Arial" w:hAnsi="Arial" w:cs="Arial"/>
                <w:i/>
                <w:sz w:val="14"/>
                <w:szCs w:val="14"/>
              </w:rPr>
              <w:t>df</w:t>
            </w:r>
          </w:p>
        </w:tc>
        <w:tc>
          <w:tcPr>
            <w:tcW w:w="278" w:type="dxa"/>
            <w:tcBorders>
              <w:top w:val="single" w:sz="10" w:space="0" w:color="000000"/>
              <w:bottom w:val="single" w:sz="10" w:space="0" w:color="000000"/>
              <w:right w:val="single" w:sz="4" w:space="0" w:color="000000"/>
            </w:tcBorders>
          </w:tcPr>
          <w:p w14:paraId="505C3B57" w14:textId="77777777" w:rsidR="00BA7FEA" w:rsidRDefault="00BA7FEA" w:rsidP="00683C41">
            <w:pPr>
              <w:pStyle w:val="Default"/>
              <w:rPr>
                <w:color w:val="auto"/>
              </w:rPr>
            </w:pPr>
          </w:p>
        </w:tc>
        <w:tc>
          <w:tcPr>
            <w:tcW w:w="988" w:type="dxa"/>
            <w:tcBorders>
              <w:top w:val="single" w:sz="10" w:space="0" w:color="000000"/>
              <w:left w:val="single" w:sz="4" w:space="0" w:color="000000"/>
              <w:bottom w:val="single" w:sz="10" w:space="0" w:color="000000"/>
              <w:right w:val="single" w:sz="10" w:space="0" w:color="000000"/>
            </w:tcBorders>
          </w:tcPr>
          <w:p w14:paraId="7D5D69F8" w14:textId="015764B2" w:rsidR="00BA7FEA" w:rsidRDefault="00BA7FEA">
            <w:pPr>
              <w:pStyle w:val="Default"/>
              <w:rPr>
                <w:rFonts w:ascii="Arial" w:hAnsi="Arial" w:cs="Arial"/>
                <w:sz w:val="14"/>
                <w:szCs w:val="14"/>
              </w:rPr>
            </w:pPr>
            <w:r w:rsidRPr="00020B28">
              <w:rPr>
                <w:rFonts w:ascii="Arial" w:hAnsi="Arial" w:cs="Arial"/>
                <w:sz w:val="14"/>
                <w:szCs w:val="14"/>
              </w:rPr>
              <w:t>Asymp. Sig. (</w:t>
            </w:r>
            <w:r w:rsidR="00020B28" w:rsidRPr="00020B28">
              <w:rPr>
                <w:rFonts w:ascii="Arial" w:hAnsi="Arial" w:cs="Arial"/>
                <w:sz w:val="14"/>
                <w:szCs w:val="14"/>
              </w:rPr>
              <w:t>Two</w:t>
            </w:r>
            <w:r w:rsidRPr="00020B28">
              <w:rPr>
                <w:rFonts w:ascii="Arial" w:hAnsi="Arial" w:cs="Arial"/>
                <w:sz w:val="14"/>
                <w:szCs w:val="14"/>
              </w:rPr>
              <w:t>-</w:t>
            </w:r>
            <w:r>
              <w:rPr>
                <w:rFonts w:ascii="Arial" w:hAnsi="Arial" w:cs="Arial"/>
                <w:sz w:val="14"/>
                <w:szCs w:val="14"/>
              </w:rPr>
              <w:t xml:space="preserve">sided) </w:t>
            </w:r>
          </w:p>
        </w:tc>
      </w:tr>
      <w:tr w:rsidR="00BA7FEA" w:rsidRPr="00D264E8" w14:paraId="51FE9D64" w14:textId="77777777" w:rsidTr="00683C41">
        <w:trPr>
          <w:trHeight w:val="973"/>
        </w:trPr>
        <w:tc>
          <w:tcPr>
            <w:tcW w:w="1475" w:type="dxa"/>
            <w:tcBorders>
              <w:top w:val="single" w:sz="10" w:space="0" w:color="000000"/>
              <w:left w:val="single" w:sz="10" w:space="0" w:color="000000"/>
              <w:bottom w:val="single" w:sz="10" w:space="0" w:color="000000"/>
              <w:right w:val="single" w:sz="10" w:space="0" w:color="000000"/>
            </w:tcBorders>
          </w:tcPr>
          <w:p w14:paraId="2964540D" w14:textId="10BEB7BD" w:rsidR="00020B28" w:rsidRPr="00D264E8" w:rsidRDefault="00BA7FEA" w:rsidP="00683C41">
            <w:pPr>
              <w:pStyle w:val="Default"/>
              <w:rPr>
                <w:rFonts w:ascii="Arial" w:hAnsi="Arial" w:cs="Arial"/>
                <w:sz w:val="14"/>
                <w:szCs w:val="14"/>
              </w:rPr>
            </w:pPr>
            <w:r w:rsidRPr="00D264E8">
              <w:rPr>
                <w:rFonts w:ascii="Arial" w:hAnsi="Arial" w:cs="Arial"/>
                <w:sz w:val="14"/>
                <w:szCs w:val="14"/>
              </w:rPr>
              <w:t xml:space="preserve">Pearson </w:t>
            </w:r>
            <w:r w:rsidR="008D138C" w:rsidRPr="006E1D8E">
              <w:rPr>
                <w:bCs/>
              </w:rPr>
              <w:t>χ</w:t>
            </w:r>
            <w:r w:rsidR="008D138C" w:rsidRPr="006E1D8E">
              <w:rPr>
                <w:bCs/>
                <w:vertAlign w:val="superscript"/>
              </w:rPr>
              <w:t>2</w:t>
            </w:r>
          </w:p>
          <w:p w14:paraId="08F94780" w14:textId="7F9B948A" w:rsidR="00020B28" w:rsidRPr="00D264E8" w:rsidRDefault="00BA7FEA" w:rsidP="00683C41">
            <w:pPr>
              <w:pStyle w:val="Default"/>
              <w:rPr>
                <w:rFonts w:ascii="Arial" w:hAnsi="Arial" w:cs="Arial"/>
                <w:sz w:val="14"/>
                <w:szCs w:val="14"/>
              </w:rPr>
            </w:pPr>
            <w:r w:rsidRPr="00D264E8">
              <w:rPr>
                <w:rFonts w:ascii="Arial" w:hAnsi="Arial" w:cs="Arial"/>
                <w:sz w:val="14"/>
                <w:szCs w:val="14"/>
              </w:rPr>
              <w:t>Likelihood Ratio</w:t>
            </w:r>
          </w:p>
          <w:p w14:paraId="5E38A5A2" w14:textId="0E9E7765" w:rsidR="00020B28" w:rsidRPr="00D264E8" w:rsidRDefault="00BA7FEA" w:rsidP="00683C41">
            <w:pPr>
              <w:pStyle w:val="Default"/>
              <w:rPr>
                <w:rFonts w:ascii="Arial" w:hAnsi="Arial" w:cs="Arial"/>
                <w:sz w:val="14"/>
                <w:szCs w:val="14"/>
              </w:rPr>
            </w:pPr>
            <w:r w:rsidRPr="00D264E8">
              <w:rPr>
                <w:rFonts w:ascii="Arial" w:hAnsi="Arial" w:cs="Arial"/>
                <w:sz w:val="14"/>
                <w:szCs w:val="14"/>
              </w:rPr>
              <w:t>Linear-by-Linear Association</w:t>
            </w:r>
          </w:p>
          <w:p w14:paraId="3E37112B" w14:textId="70572625" w:rsidR="00BA7FEA" w:rsidRPr="00D264E8" w:rsidRDefault="00BA7FEA" w:rsidP="00683C41">
            <w:pPr>
              <w:pStyle w:val="Default"/>
              <w:rPr>
                <w:rFonts w:ascii="Arial" w:hAnsi="Arial" w:cs="Arial"/>
                <w:sz w:val="14"/>
                <w:szCs w:val="14"/>
              </w:rPr>
            </w:pPr>
            <w:r w:rsidRPr="006E1D8E">
              <w:rPr>
                <w:rFonts w:ascii="Arial" w:hAnsi="Arial" w:cs="Arial"/>
                <w:i/>
                <w:sz w:val="14"/>
                <w:szCs w:val="14"/>
              </w:rPr>
              <w:t>N</w:t>
            </w:r>
            <w:r w:rsidRPr="00D264E8">
              <w:rPr>
                <w:rFonts w:ascii="Arial" w:hAnsi="Arial" w:cs="Arial"/>
                <w:sz w:val="14"/>
                <w:szCs w:val="14"/>
              </w:rPr>
              <w:t xml:space="preserve"> of Valid Cases </w:t>
            </w:r>
          </w:p>
        </w:tc>
        <w:tc>
          <w:tcPr>
            <w:tcW w:w="793" w:type="dxa"/>
            <w:tcBorders>
              <w:top w:val="single" w:sz="10" w:space="0" w:color="000000"/>
              <w:left w:val="single" w:sz="10" w:space="0" w:color="000000"/>
              <w:bottom w:val="single" w:sz="10" w:space="0" w:color="000000"/>
              <w:right w:val="single" w:sz="4" w:space="0" w:color="000000"/>
            </w:tcBorders>
          </w:tcPr>
          <w:p w14:paraId="619A65E0" w14:textId="77777777" w:rsidR="00020B28" w:rsidRPr="00D264E8" w:rsidRDefault="00BA7FEA" w:rsidP="00683C41">
            <w:pPr>
              <w:pStyle w:val="Default"/>
              <w:jc w:val="center"/>
              <w:rPr>
                <w:rFonts w:ascii="Arial" w:hAnsi="Arial" w:cs="Arial"/>
                <w:sz w:val="10"/>
                <w:szCs w:val="10"/>
              </w:rPr>
            </w:pPr>
            <w:r w:rsidRPr="00D264E8">
              <w:rPr>
                <w:rFonts w:ascii="Arial" w:hAnsi="Arial" w:cs="Arial"/>
                <w:sz w:val="14"/>
                <w:szCs w:val="14"/>
              </w:rPr>
              <w:t>304.069</w:t>
            </w:r>
            <w:r w:rsidRPr="006E1D8E">
              <w:rPr>
                <w:rFonts w:ascii="Arial" w:hAnsi="Arial" w:cs="Arial"/>
                <w:sz w:val="10"/>
                <w:szCs w:val="10"/>
                <w:vertAlign w:val="superscript"/>
              </w:rPr>
              <w:t>a</w:t>
            </w:r>
          </w:p>
          <w:p w14:paraId="7B43389C" w14:textId="5A5F4C15" w:rsidR="00020B28" w:rsidRPr="00D264E8" w:rsidRDefault="00BA7FEA" w:rsidP="00683C41">
            <w:pPr>
              <w:pStyle w:val="Default"/>
              <w:jc w:val="center"/>
              <w:rPr>
                <w:rFonts w:ascii="Arial" w:hAnsi="Arial" w:cs="Arial"/>
                <w:sz w:val="14"/>
                <w:szCs w:val="14"/>
              </w:rPr>
            </w:pPr>
            <w:r w:rsidRPr="00D264E8">
              <w:rPr>
                <w:rFonts w:ascii="Arial" w:hAnsi="Arial" w:cs="Arial"/>
                <w:sz w:val="14"/>
                <w:szCs w:val="14"/>
              </w:rPr>
              <w:t>283.317</w:t>
            </w:r>
          </w:p>
          <w:p w14:paraId="5CDFAAA3" w14:textId="14F69806" w:rsidR="00020B28" w:rsidRPr="00D264E8" w:rsidRDefault="00BA7FEA" w:rsidP="00683C41">
            <w:pPr>
              <w:pStyle w:val="Default"/>
              <w:jc w:val="center"/>
              <w:rPr>
                <w:rFonts w:ascii="Arial" w:hAnsi="Arial" w:cs="Arial"/>
                <w:sz w:val="14"/>
                <w:szCs w:val="14"/>
              </w:rPr>
            </w:pPr>
            <w:r w:rsidRPr="00D264E8">
              <w:rPr>
                <w:rFonts w:ascii="Arial" w:hAnsi="Arial" w:cs="Arial"/>
                <w:sz w:val="14"/>
                <w:szCs w:val="14"/>
              </w:rPr>
              <w:t>140.970</w:t>
            </w:r>
          </w:p>
          <w:p w14:paraId="0BA213B2" w14:textId="5332E237" w:rsidR="00BA7FEA" w:rsidRPr="00D264E8" w:rsidRDefault="00BA7FEA" w:rsidP="00683C41">
            <w:pPr>
              <w:pStyle w:val="Default"/>
              <w:jc w:val="center"/>
              <w:rPr>
                <w:rFonts w:ascii="Arial" w:hAnsi="Arial" w:cs="Arial"/>
                <w:sz w:val="14"/>
                <w:szCs w:val="14"/>
              </w:rPr>
            </w:pPr>
            <w:r w:rsidRPr="00D264E8">
              <w:rPr>
                <w:rFonts w:ascii="Arial" w:hAnsi="Arial" w:cs="Arial"/>
                <w:sz w:val="14"/>
                <w:szCs w:val="14"/>
              </w:rPr>
              <w:t xml:space="preserve">1030 </w:t>
            </w:r>
          </w:p>
        </w:tc>
        <w:tc>
          <w:tcPr>
            <w:tcW w:w="533" w:type="dxa"/>
            <w:tcBorders>
              <w:top w:val="single" w:sz="10" w:space="0" w:color="000000"/>
              <w:left w:val="single" w:sz="4" w:space="0" w:color="000000"/>
              <w:bottom w:val="single" w:sz="10" w:space="0" w:color="000000"/>
            </w:tcBorders>
          </w:tcPr>
          <w:p w14:paraId="63DA5D64" w14:textId="77777777" w:rsidR="00BA7FEA" w:rsidRPr="00D264E8" w:rsidRDefault="00BA7FEA" w:rsidP="00683C41">
            <w:pPr>
              <w:pStyle w:val="Default"/>
              <w:jc w:val="right"/>
              <w:rPr>
                <w:color w:val="auto"/>
              </w:rPr>
            </w:pPr>
          </w:p>
        </w:tc>
        <w:tc>
          <w:tcPr>
            <w:tcW w:w="278" w:type="dxa"/>
            <w:tcBorders>
              <w:top w:val="single" w:sz="10" w:space="0" w:color="000000"/>
              <w:bottom w:val="single" w:sz="10" w:space="0" w:color="000000"/>
              <w:right w:val="single" w:sz="4" w:space="0" w:color="000000"/>
            </w:tcBorders>
          </w:tcPr>
          <w:p w14:paraId="4B3DBB57" w14:textId="77777777" w:rsidR="00020B28" w:rsidRPr="00D264E8" w:rsidRDefault="00BA7FEA" w:rsidP="00683C41">
            <w:pPr>
              <w:pStyle w:val="Default"/>
              <w:rPr>
                <w:rFonts w:ascii="Arial" w:hAnsi="Arial" w:cs="Arial"/>
                <w:sz w:val="14"/>
                <w:szCs w:val="14"/>
              </w:rPr>
            </w:pPr>
            <w:r w:rsidRPr="00D264E8">
              <w:rPr>
                <w:rFonts w:ascii="Arial" w:hAnsi="Arial" w:cs="Arial"/>
                <w:sz w:val="14"/>
                <w:szCs w:val="14"/>
              </w:rPr>
              <w:t>4</w:t>
            </w:r>
          </w:p>
          <w:p w14:paraId="1A48D5AB" w14:textId="621D2F1F" w:rsidR="00020B28" w:rsidRPr="00D264E8" w:rsidRDefault="00BA7FEA" w:rsidP="00683C41">
            <w:pPr>
              <w:pStyle w:val="Default"/>
              <w:rPr>
                <w:rFonts w:ascii="Arial" w:hAnsi="Arial" w:cs="Arial"/>
                <w:sz w:val="14"/>
                <w:szCs w:val="14"/>
              </w:rPr>
            </w:pPr>
            <w:r w:rsidRPr="00D264E8">
              <w:rPr>
                <w:rFonts w:ascii="Arial" w:hAnsi="Arial" w:cs="Arial"/>
                <w:sz w:val="14"/>
                <w:szCs w:val="14"/>
              </w:rPr>
              <w:t>4</w:t>
            </w:r>
          </w:p>
          <w:p w14:paraId="7739CB86" w14:textId="14A59B9F" w:rsidR="00BA7FEA" w:rsidRPr="00D264E8" w:rsidRDefault="00BA7FEA" w:rsidP="00683C41">
            <w:pPr>
              <w:pStyle w:val="Default"/>
              <w:rPr>
                <w:rFonts w:ascii="Arial" w:hAnsi="Arial" w:cs="Arial"/>
                <w:sz w:val="14"/>
                <w:szCs w:val="14"/>
              </w:rPr>
            </w:pPr>
            <w:r w:rsidRPr="00D264E8">
              <w:rPr>
                <w:rFonts w:ascii="Arial" w:hAnsi="Arial" w:cs="Arial"/>
                <w:sz w:val="14"/>
                <w:szCs w:val="14"/>
              </w:rPr>
              <w:t xml:space="preserve">1 </w:t>
            </w:r>
          </w:p>
        </w:tc>
        <w:tc>
          <w:tcPr>
            <w:tcW w:w="988" w:type="dxa"/>
            <w:tcBorders>
              <w:top w:val="single" w:sz="10" w:space="0" w:color="000000"/>
              <w:left w:val="single" w:sz="4" w:space="0" w:color="000000"/>
              <w:bottom w:val="single" w:sz="10" w:space="0" w:color="000000"/>
              <w:right w:val="single" w:sz="10" w:space="0" w:color="000000"/>
            </w:tcBorders>
          </w:tcPr>
          <w:p w14:paraId="7F41BBAD" w14:textId="77777777" w:rsidR="00020B28" w:rsidRPr="00D264E8" w:rsidRDefault="00BA7FEA" w:rsidP="00683C41">
            <w:pPr>
              <w:pStyle w:val="Default"/>
              <w:rPr>
                <w:rFonts w:ascii="Arial" w:hAnsi="Arial" w:cs="Arial"/>
                <w:sz w:val="14"/>
                <w:szCs w:val="14"/>
              </w:rPr>
            </w:pPr>
            <w:r w:rsidRPr="00D264E8">
              <w:rPr>
                <w:rFonts w:ascii="Arial" w:hAnsi="Arial" w:cs="Arial"/>
                <w:sz w:val="14"/>
                <w:szCs w:val="14"/>
              </w:rPr>
              <w:t>.000</w:t>
            </w:r>
          </w:p>
          <w:p w14:paraId="17C9E08C" w14:textId="304FD0B2" w:rsidR="00020B28" w:rsidRPr="00D264E8" w:rsidRDefault="00BA7FEA" w:rsidP="00683C41">
            <w:pPr>
              <w:pStyle w:val="Default"/>
              <w:rPr>
                <w:rFonts w:ascii="Arial" w:hAnsi="Arial" w:cs="Arial"/>
                <w:sz w:val="14"/>
                <w:szCs w:val="14"/>
              </w:rPr>
            </w:pPr>
            <w:r w:rsidRPr="00D264E8">
              <w:rPr>
                <w:rFonts w:ascii="Arial" w:hAnsi="Arial" w:cs="Arial"/>
                <w:sz w:val="14"/>
                <w:szCs w:val="14"/>
              </w:rPr>
              <w:t>.000</w:t>
            </w:r>
          </w:p>
          <w:p w14:paraId="36B828B6" w14:textId="0105FD68" w:rsidR="00BA7FEA" w:rsidRPr="00D264E8" w:rsidRDefault="00BA7FEA" w:rsidP="00683C41">
            <w:pPr>
              <w:pStyle w:val="Default"/>
              <w:rPr>
                <w:rFonts w:ascii="Arial" w:hAnsi="Arial" w:cs="Arial"/>
                <w:sz w:val="14"/>
                <w:szCs w:val="14"/>
              </w:rPr>
            </w:pPr>
            <w:r w:rsidRPr="00D264E8">
              <w:rPr>
                <w:rFonts w:ascii="Arial" w:hAnsi="Arial" w:cs="Arial"/>
                <w:sz w:val="14"/>
                <w:szCs w:val="14"/>
              </w:rPr>
              <w:t xml:space="preserve">.000 </w:t>
            </w:r>
          </w:p>
        </w:tc>
      </w:tr>
    </w:tbl>
    <w:p w14:paraId="14C8FAA8" w14:textId="767F4347" w:rsidR="00BA7FEA" w:rsidRDefault="00BA7FEA" w:rsidP="00BA7FEA">
      <w:pPr>
        <w:pStyle w:val="CM74"/>
        <w:spacing w:line="176" w:lineRule="atLeast"/>
        <w:ind w:left="160" w:right="258" w:hanging="160"/>
        <w:jc w:val="both"/>
      </w:pPr>
      <w:r w:rsidRPr="006E1D8E">
        <w:rPr>
          <w:vertAlign w:val="superscript"/>
        </w:rPr>
        <w:t>a</w:t>
      </w:r>
      <w:r w:rsidR="00F23EF1" w:rsidRPr="004B4A0D">
        <w:t xml:space="preserve">One </w:t>
      </w:r>
      <w:r w:rsidR="006E1D8E">
        <w:t>cell</w:t>
      </w:r>
      <w:r w:rsidRPr="004B4A0D">
        <w:t xml:space="preserve"> (11.</w:t>
      </w:r>
      <w:r>
        <w:t xml:space="preserve">1%) </w:t>
      </w:r>
      <w:r w:rsidR="006E1D8E">
        <w:t>has an</w:t>
      </w:r>
      <w:r>
        <w:t xml:space="preserve"> expected count less than 5. The minimum expected count is 3.59.</w:t>
      </w:r>
    </w:p>
    <w:p w14:paraId="7D44BECB" w14:textId="77777777" w:rsidR="00BA7FEA" w:rsidRDefault="00BA7FEA" w:rsidP="00BA7FEA">
      <w:pPr>
        <w:pStyle w:val="CM75"/>
        <w:ind w:left="2360"/>
        <w:jc w:val="both"/>
        <w:rPr>
          <w:rFonts w:ascii="Arial" w:hAnsi="Arial" w:cs="Arial"/>
          <w:sz w:val="13"/>
          <w:szCs w:val="13"/>
        </w:rPr>
      </w:pPr>
      <w:r>
        <w:rPr>
          <w:rFonts w:ascii="Arial" w:hAnsi="Arial" w:cs="Arial"/>
          <w:b/>
          <w:bCs/>
          <w:sz w:val="13"/>
          <w:szCs w:val="13"/>
        </w:rPr>
        <w:t xml:space="preserve">Directional Measures </w:t>
      </w:r>
    </w:p>
    <w:tbl>
      <w:tblPr>
        <w:tblStyle w:val="TableGrid"/>
        <w:tblW w:w="6598" w:type="dxa"/>
        <w:tblLook w:val="0000" w:firstRow="0" w:lastRow="0" w:firstColumn="0" w:lastColumn="0" w:noHBand="0" w:noVBand="0"/>
      </w:tblPr>
      <w:tblGrid>
        <w:gridCol w:w="2039"/>
        <w:gridCol w:w="1338"/>
        <w:gridCol w:w="765"/>
        <w:gridCol w:w="783"/>
        <w:gridCol w:w="783"/>
        <w:gridCol w:w="890"/>
      </w:tblGrid>
      <w:tr w:rsidR="00BA7FEA" w:rsidRPr="003C0183" w14:paraId="0D803D46" w14:textId="77777777" w:rsidTr="006E1D8E">
        <w:trPr>
          <w:trHeight w:val="353"/>
        </w:trPr>
        <w:tc>
          <w:tcPr>
            <w:tcW w:w="2040" w:type="dxa"/>
          </w:tcPr>
          <w:p w14:paraId="515861B0" w14:textId="77777777" w:rsidR="00BA7FEA" w:rsidRPr="003C0183" w:rsidRDefault="00BA7FEA" w:rsidP="00683C41">
            <w:pPr>
              <w:pStyle w:val="Default"/>
              <w:rPr>
                <w:color w:val="auto"/>
              </w:rPr>
            </w:pPr>
          </w:p>
        </w:tc>
        <w:tc>
          <w:tcPr>
            <w:tcW w:w="1338" w:type="dxa"/>
          </w:tcPr>
          <w:p w14:paraId="46A8852A" w14:textId="77777777" w:rsidR="00BA7FEA" w:rsidRPr="003C0183" w:rsidRDefault="00BA7FEA" w:rsidP="00683C41">
            <w:pPr>
              <w:pStyle w:val="Default"/>
              <w:rPr>
                <w:color w:val="auto"/>
              </w:rPr>
            </w:pPr>
          </w:p>
        </w:tc>
        <w:tc>
          <w:tcPr>
            <w:tcW w:w="765" w:type="dxa"/>
          </w:tcPr>
          <w:p w14:paraId="4A096922" w14:textId="7777777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Value </w:t>
            </w:r>
          </w:p>
        </w:tc>
        <w:tc>
          <w:tcPr>
            <w:tcW w:w="783" w:type="dxa"/>
          </w:tcPr>
          <w:p w14:paraId="66132520" w14:textId="6E212A61" w:rsidR="00BA7FEA" w:rsidRPr="003C0183" w:rsidRDefault="00BA7FEA">
            <w:pPr>
              <w:pStyle w:val="Default"/>
              <w:rPr>
                <w:rFonts w:ascii="Arial" w:hAnsi="Arial" w:cs="Arial"/>
                <w:sz w:val="10"/>
                <w:szCs w:val="10"/>
              </w:rPr>
            </w:pPr>
            <w:r w:rsidRPr="003C0183">
              <w:rPr>
                <w:rFonts w:ascii="Arial" w:hAnsi="Arial" w:cs="Arial"/>
                <w:sz w:val="13"/>
                <w:szCs w:val="13"/>
              </w:rPr>
              <w:t xml:space="preserve">Asymp. </w:t>
            </w:r>
            <w:r w:rsidR="00BA24B2" w:rsidRPr="006E1D8E">
              <w:rPr>
                <w:rFonts w:ascii="Arial" w:hAnsi="Arial" w:cs="Arial"/>
                <w:i/>
                <w:sz w:val="13"/>
                <w:szCs w:val="13"/>
              </w:rPr>
              <w:t>SE</w:t>
            </w:r>
            <w:r w:rsidRPr="006E1D8E">
              <w:rPr>
                <w:rFonts w:ascii="Arial" w:hAnsi="Arial" w:cs="Arial"/>
                <w:sz w:val="10"/>
                <w:szCs w:val="10"/>
                <w:vertAlign w:val="superscript"/>
              </w:rPr>
              <w:t>a</w:t>
            </w:r>
            <w:r w:rsidRPr="003C0183">
              <w:rPr>
                <w:rFonts w:ascii="Arial" w:hAnsi="Arial" w:cs="Arial"/>
                <w:sz w:val="10"/>
                <w:szCs w:val="10"/>
              </w:rPr>
              <w:t xml:space="preserve"> </w:t>
            </w:r>
          </w:p>
        </w:tc>
        <w:tc>
          <w:tcPr>
            <w:tcW w:w="783" w:type="dxa"/>
          </w:tcPr>
          <w:p w14:paraId="07842C6C" w14:textId="77777777" w:rsidR="00BA7FEA" w:rsidRPr="003C0183" w:rsidRDefault="00BA7FEA" w:rsidP="00683C41">
            <w:pPr>
              <w:pStyle w:val="Default"/>
              <w:rPr>
                <w:rFonts w:ascii="Arial" w:hAnsi="Arial" w:cs="Arial"/>
                <w:sz w:val="10"/>
                <w:szCs w:val="10"/>
              </w:rPr>
            </w:pPr>
            <w:r w:rsidRPr="003C0183">
              <w:rPr>
                <w:rFonts w:ascii="Arial" w:hAnsi="Arial" w:cs="Arial"/>
                <w:sz w:val="13"/>
                <w:szCs w:val="13"/>
              </w:rPr>
              <w:t xml:space="preserve">Approx. </w:t>
            </w:r>
            <w:r w:rsidRPr="006E1D8E">
              <w:rPr>
                <w:rFonts w:ascii="Arial" w:hAnsi="Arial" w:cs="Arial"/>
                <w:i/>
                <w:sz w:val="13"/>
                <w:szCs w:val="13"/>
              </w:rPr>
              <w:t>T</w:t>
            </w:r>
            <w:r w:rsidRPr="006E1D8E">
              <w:rPr>
                <w:rFonts w:ascii="Arial" w:hAnsi="Arial" w:cs="Arial"/>
                <w:sz w:val="10"/>
                <w:szCs w:val="10"/>
                <w:vertAlign w:val="superscript"/>
              </w:rPr>
              <w:t>b</w:t>
            </w:r>
            <w:r w:rsidRPr="003C0183">
              <w:rPr>
                <w:rFonts w:ascii="Arial" w:hAnsi="Arial" w:cs="Arial"/>
                <w:sz w:val="10"/>
                <w:szCs w:val="10"/>
              </w:rPr>
              <w:t xml:space="preserve"> </w:t>
            </w:r>
          </w:p>
        </w:tc>
        <w:tc>
          <w:tcPr>
            <w:tcW w:w="890" w:type="dxa"/>
          </w:tcPr>
          <w:p w14:paraId="74A8DF02" w14:textId="7777777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Approx. Sig. </w:t>
            </w:r>
          </w:p>
        </w:tc>
      </w:tr>
      <w:tr w:rsidR="00BA7FEA" w:rsidRPr="003C0183" w14:paraId="5BB82961" w14:textId="77777777" w:rsidTr="006E1D8E">
        <w:trPr>
          <w:trHeight w:val="570"/>
        </w:trPr>
        <w:tc>
          <w:tcPr>
            <w:tcW w:w="2040" w:type="dxa"/>
          </w:tcPr>
          <w:p w14:paraId="0BBB6F7D" w14:textId="7777777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Somers' </w:t>
            </w:r>
            <w:r w:rsidRPr="00767297">
              <w:rPr>
                <w:rFonts w:ascii="Arial" w:hAnsi="Arial" w:cs="Arial"/>
                <w:i/>
                <w:sz w:val="13"/>
                <w:szCs w:val="13"/>
              </w:rPr>
              <w:t>d</w:t>
            </w:r>
            <w:r w:rsidRPr="003C0183">
              <w:rPr>
                <w:rFonts w:ascii="Arial" w:hAnsi="Arial" w:cs="Arial"/>
                <w:sz w:val="13"/>
                <w:szCs w:val="13"/>
              </w:rPr>
              <w:t xml:space="preserve"> Ordinal by Ordinal </w:t>
            </w:r>
          </w:p>
        </w:tc>
        <w:tc>
          <w:tcPr>
            <w:tcW w:w="1338" w:type="dxa"/>
          </w:tcPr>
          <w:p w14:paraId="30B0C5B5" w14:textId="77777777" w:rsidR="00020B28" w:rsidRPr="003C0183" w:rsidRDefault="00BA7FEA" w:rsidP="00683C41">
            <w:pPr>
              <w:pStyle w:val="Default"/>
              <w:rPr>
                <w:rFonts w:ascii="Arial" w:hAnsi="Arial" w:cs="Arial"/>
                <w:sz w:val="13"/>
                <w:szCs w:val="13"/>
              </w:rPr>
            </w:pPr>
            <w:r w:rsidRPr="003C0183">
              <w:rPr>
                <w:rFonts w:ascii="Arial" w:hAnsi="Arial" w:cs="Arial"/>
                <w:sz w:val="13"/>
                <w:szCs w:val="13"/>
              </w:rPr>
              <w:t>Symmetric trust3</w:t>
            </w:r>
          </w:p>
          <w:p w14:paraId="089D8C8B" w14:textId="4E2A5A1A" w:rsidR="00020B28" w:rsidRPr="003C0183" w:rsidRDefault="00BA7FEA" w:rsidP="00683C41">
            <w:pPr>
              <w:pStyle w:val="Default"/>
              <w:rPr>
                <w:rFonts w:ascii="Arial" w:hAnsi="Arial" w:cs="Arial"/>
                <w:sz w:val="13"/>
                <w:szCs w:val="13"/>
              </w:rPr>
            </w:pPr>
            <w:r w:rsidRPr="003C0183">
              <w:rPr>
                <w:rFonts w:ascii="Arial" w:hAnsi="Arial" w:cs="Arial"/>
                <w:sz w:val="13"/>
                <w:szCs w:val="13"/>
              </w:rPr>
              <w:t>Dependent works3</w:t>
            </w:r>
          </w:p>
          <w:p w14:paraId="1F257788" w14:textId="49CF85D0"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Dependent </w:t>
            </w:r>
          </w:p>
        </w:tc>
        <w:tc>
          <w:tcPr>
            <w:tcW w:w="765" w:type="dxa"/>
          </w:tcPr>
          <w:p w14:paraId="7B67575F" w14:textId="77777777" w:rsidR="00020B28" w:rsidRPr="003C0183" w:rsidRDefault="00BA7FEA" w:rsidP="00683C41">
            <w:pPr>
              <w:pStyle w:val="Default"/>
              <w:rPr>
                <w:rFonts w:ascii="Arial" w:hAnsi="Arial" w:cs="Arial"/>
                <w:sz w:val="13"/>
                <w:szCs w:val="13"/>
              </w:rPr>
            </w:pPr>
            <w:r w:rsidRPr="003C0183">
              <w:rPr>
                <w:rFonts w:ascii="Arial" w:hAnsi="Arial" w:cs="Arial"/>
                <w:sz w:val="13"/>
                <w:szCs w:val="13"/>
              </w:rPr>
              <w:t>.393</w:t>
            </w:r>
          </w:p>
          <w:p w14:paraId="468FD5D7" w14:textId="394D6BC2" w:rsidR="00020B28" w:rsidRPr="003C0183" w:rsidRDefault="00020B28">
            <w:pPr>
              <w:pStyle w:val="Default"/>
              <w:rPr>
                <w:rFonts w:ascii="Arial" w:hAnsi="Arial" w:cs="Arial"/>
                <w:sz w:val="13"/>
                <w:szCs w:val="13"/>
              </w:rPr>
            </w:pPr>
            <w:r w:rsidRPr="003C0183">
              <w:rPr>
                <w:rFonts w:ascii="Arial" w:hAnsi="Arial" w:cs="Arial"/>
                <w:sz w:val="13"/>
                <w:szCs w:val="13"/>
              </w:rPr>
              <w:t xml:space="preserve"> </w:t>
            </w:r>
            <w:r w:rsidR="00BA7FEA" w:rsidRPr="003C0183">
              <w:rPr>
                <w:rFonts w:ascii="Arial" w:hAnsi="Arial" w:cs="Arial"/>
                <w:sz w:val="13"/>
                <w:szCs w:val="13"/>
              </w:rPr>
              <w:t>353</w:t>
            </w:r>
          </w:p>
          <w:p w14:paraId="170B7C8A" w14:textId="6A2BBA3B" w:rsidR="00BA7FEA" w:rsidRPr="003C0183" w:rsidRDefault="00BA7FEA">
            <w:pPr>
              <w:pStyle w:val="Default"/>
              <w:rPr>
                <w:rFonts w:ascii="Arial" w:hAnsi="Arial" w:cs="Arial"/>
                <w:sz w:val="13"/>
                <w:szCs w:val="13"/>
              </w:rPr>
            </w:pPr>
            <w:r w:rsidRPr="003C0183">
              <w:rPr>
                <w:rFonts w:ascii="Arial" w:hAnsi="Arial" w:cs="Arial"/>
                <w:sz w:val="13"/>
                <w:szCs w:val="13"/>
              </w:rPr>
              <w:t xml:space="preserve">.444 </w:t>
            </w:r>
          </w:p>
        </w:tc>
        <w:tc>
          <w:tcPr>
            <w:tcW w:w="783" w:type="dxa"/>
          </w:tcPr>
          <w:p w14:paraId="2EB56F09" w14:textId="77777777" w:rsidR="00020B28" w:rsidRPr="003C0183" w:rsidRDefault="00BA7FEA" w:rsidP="00683C41">
            <w:pPr>
              <w:pStyle w:val="Default"/>
              <w:rPr>
                <w:rFonts w:ascii="Arial" w:hAnsi="Arial" w:cs="Arial"/>
                <w:sz w:val="13"/>
                <w:szCs w:val="13"/>
              </w:rPr>
            </w:pPr>
            <w:r w:rsidRPr="003C0183">
              <w:rPr>
                <w:rFonts w:ascii="Arial" w:hAnsi="Arial" w:cs="Arial"/>
                <w:sz w:val="13"/>
                <w:szCs w:val="13"/>
              </w:rPr>
              <w:t>.028</w:t>
            </w:r>
          </w:p>
          <w:p w14:paraId="017168E4" w14:textId="2A945196" w:rsidR="00020B28" w:rsidRPr="003C0183" w:rsidRDefault="00BA7FEA" w:rsidP="00683C41">
            <w:pPr>
              <w:pStyle w:val="Default"/>
              <w:rPr>
                <w:rFonts w:ascii="Arial" w:hAnsi="Arial" w:cs="Arial"/>
                <w:sz w:val="13"/>
                <w:szCs w:val="13"/>
              </w:rPr>
            </w:pPr>
            <w:r w:rsidRPr="003C0183">
              <w:rPr>
                <w:rFonts w:ascii="Arial" w:hAnsi="Arial" w:cs="Arial"/>
                <w:sz w:val="13"/>
                <w:szCs w:val="13"/>
              </w:rPr>
              <w:t>.027</w:t>
            </w:r>
          </w:p>
          <w:p w14:paraId="76D1A447" w14:textId="170AAD6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.030 </w:t>
            </w:r>
          </w:p>
        </w:tc>
        <w:tc>
          <w:tcPr>
            <w:tcW w:w="783" w:type="dxa"/>
          </w:tcPr>
          <w:p w14:paraId="63983380" w14:textId="77777777" w:rsidR="00020B28" w:rsidRPr="003C0183" w:rsidRDefault="00BA7FEA" w:rsidP="00683C41">
            <w:pPr>
              <w:pStyle w:val="Default"/>
              <w:rPr>
                <w:rFonts w:ascii="Arial" w:hAnsi="Arial" w:cs="Arial"/>
                <w:sz w:val="13"/>
                <w:szCs w:val="13"/>
              </w:rPr>
            </w:pPr>
            <w:r w:rsidRPr="003C0183">
              <w:rPr>
                <w:rFonts w:ascii="Arial" w:hAnsi="Arial" w:cs="Arial"/>
                <w:sz w:val="13"/>
                <w:szCs w:val="13"/>
              </w:rPr>
              <w:t>13.671</w:t>
            </w:r>
          </w:p>
          <w:p w14:paraId="60FC96AE" w14:textId="0FAB0DF4" w:rsidR="00020B28" w:rsidRPr="003C0183" w:rsidRDefault="00BA7FEA" w:rsidP="00683C41">
            <w:pPr>
              <w:pStyle w:val="Default"/>
              <w:rPr>
                <w:rFonts w:ascii="Arial" w:hAnsi="Arial" w:cs="Arial"/>
                <w:sz w:val="13"/>
                <w:szCs w:val="13"/>
              </w:rPr>
            </w:pPr>
            <w:r w:rsidRPr="003C0183">
              <w:rPr>
                <w:rFonts w:ascii="Arial" w:hAnsi="Arial" w:cs="Arial"/>
                <w:sz w:val="13"/>
                <w:szCs w:val="13"/>
              </w:rPr>
              <w:t>13.671</w:t>
            </w:r>
          </w:p>
          <w:p w14:paraId="552D819A" w14:textId="18311454" w:rsidR="00BA7FEA" w:rsidRPr="003C0183" w:rsidRDefault="00BA7FEA">
            <w:pPr>
              <w:pStyle w:val="Default"/>
              <w:rPr>
                <w:rFonts w:ascii="Arial" w:hAnsi="Arial" w:cs="Arial"/>
                <w:sz w:val="13"/>
                <w:szCs w:val="13"/>
              </w:rPr>
            </w:pPr>
            <w:r w:rsidRPr="003C0183">
              <w:rPr>
                <w:rFonts w:ascii="Arial" w:hAnsi="Arial" w:cs="Arial"/>
                <w:sz w:val="13"/>
                <w:szCs w:val="13"/>
              </w:rPr>
              <w:t>13.671</w:t>
            </w:r>
          </w:p>
        </w:tc>
        <w:tc>
          <w:tcPr>
            <w:tcW w:w="890" w:type="dxa"/>
          </w:tcPr>
          <w:p w14:paraId="4DD1DC78" w14:textId="77777777" w:rsidR="00020B28" w:rsidRPr="003C0183" w:rsidRDefault="00BA7FEA" w:rsidP="00683C41">
            <w:pPr>
              <w:pStyle w:val="Default"/>
              <w:rPr>
                <w:rFonts w:ascii="Arial" w:hAnsi="Arial" w:cs="Arial"/>
                <w:sz w:val="13"/>
                <w:szCs w:val="13"/>
              </w:rPr>
            </w:pPr>
            <w:r w:rsidRPr="003C0183">
              <w:rPr>
                <w:rFonts w:ascii="Arial" w:hAnsi="Arial" w:cs="Arial"/>
                <w:sz w:val="13"/>
                <w:szCs w:val="13"/>
              </w:rPr>
              <w:t>.000</w:t>
            </w:r>
          </w:p>
          <w:p w14:paraId="0703B42D" w14:textId="2DE58FF1" w:rsidR="00020B28" w:rsidRPr="003C0183" w:rsidRDefault="00BA7FEA" w:rsidP="00683C41">
            <w:pPr>
              <w:pStyle w:val="Default"/>
              <w:rPr>
                <w:rFonts w:ascii="Arial" w:hAnsi="Arial" w:cs="Arial"/>
                <w:sz w:val="13"/>
                <w:szCs w:val="13"/>
              </w:rPr>
            </w:pPr>
            <w:r w:rsidRPr="003C0183">
              <w:rPr>
                <w:rFonts w:ascii="Arial" w:hAnsi="Arial" w:cs="Arial"/>
                <w:sz w:val="13"/>
                <w:szCs w:val="13"/>
              </w:rPr>
              <w:t>.000</w:t>
            </w:r>
          </w:p>
          <w:p w14:paraId="3423C7E3" w14:textId="5ACFD795"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.000 </w:t>
            </w:r>
          </w:p>
        </w:tc>
      </w:tr>
    </w:tbl>
    <w:p w14:paraId="1563FB02" w14:textId="2FF44CA9" w:rsidR="00BA7FEA" w:rsidRPr="003C0183" w:rsidRDefault="008D64ED" w:rsidP="00767297">
      <w:pPr>
        <w:pStyle w:val="Default"/>
        <w:rPr>
          <w:color w:val="auto"/>
        </w:rPr>
      </w:pPr>
      <w:r w:rsidRPr="00767297">
        <w:rPr>
          <w:color w:val="auto"/>
          <w:vertAlign w:val="superscript"/>
        </w:rPr>
        <w:t>a</w:t>
      </w:r>
      <w:r w:rsidR="00BA7FEA" w:rsidRPr="003C0183">
        <w:rPr>
          <w:color w:val="auto"/>
        </w:rPr>
        <w:t>Not assuming the null hypothesis</w:t>
      </w:r>
      <w:bookmarkStart w:id="0" w:name="_GoBack"/>
      <w:bookmarkEnd w:id="0"/>
      <w:r w:rsidR="00BA7FEA" w:rsidRPr="003C0183">
        <w:rPr>
          <w:color w:val="auto"/>
        </w:rPr>
        <w:t>.</w:t>
      </w:r>
    </w:p>
    <w:p w14:paraId="37A14A54" w14:textId="4A2DBCB8" w:rsidR="00BA7FEA" w:rsidRPr="003C0183" w:rsidRDefault="008D64ED" w:rsidP="00767297">
      <w:pPr>
        <w:pStyle w:val="Default"/>
        <w:rPr>
          <w:color w:val="auto"/>
        </w:rPr>
      </w:pPr>
      <w:r w:rsidRPr="00767297">
        <w:rPr>
          <w:color w:val="auto"/>
          <w:vertAlign w:val="superscript"/>
        </w:rPr>
        <w:t>b</w:t>
      </w:r>
      <w:r w:rsidR="00BA7FEA" w:rsidRPr="003C0183">
        <w:rPr>
          <w:color w:val="auto"/>
        </w:rPr>
        <w:t xml:space="preserve">Using the asymptotic standard error assuming the null hypothesis. </w:t>
      </w:r>
    </w:p>
    <w:p w14:paraId="41AD40BF" w14:textId="77777777" w:rsidR="00BA7FEA" w:rsidRPr="003C0183" w:rsidRDefault="00BA7FEA" w:rsidP="00BA7FEA">
      <w:pPr>
        <w:pStyle w:val="Default"/>
        <w:rPr>
          <w:color w:val="auto"/>
        </w:rPr>
      </w:pPr>
    </w:p>
    <w:p w14:paraId="2E99BD20" w14:textId="77777777" w:rsidR="00BA7FEA" w:rsidRPr="003C0183" w:rsidRDefault="00BA7FEA" w:rsidP="00BA7FEA">
      <w:pPr>
        <w:pStyle w:val="CM75"/>
        <w:ind w:left="1840" w:right="948"/>
        <w:rPr>
          <w:rFonts w:ascii="Arial" w:hAnsi="Arial" w:cs="Arial"/>
        </w:rPr>
      </w:pPr>
      <w:r w:rsidRPr="003C0183">
        <w:rPr>
          <w:rFonts w:ascii="Arial" w:hAnsi="Arial" w:cs="Arial"/>
          <w:b/>
          <w:bCs/>
        </w:rPr>
        <w:t xml:space="preserve">Symmetric Measures </w:t>
      </w:r>
    </w:p>
    <w:tbl>
      <w:tblPr>
        <w:tblW w:w="5510" w:type="dxa"/>
        <w:tblLook w:val="0000" w:firstRow="0" w:lastRow="0" w:firstColumn="0" w:lastColumn="0" w:noHBand="0" w:noVBand="0"/>
      </w:tblPr>
      <w:tblGrid>
        <w:gridCol w:w="1157"/>
        <w:gridCol w:w="1187"/>
        <w:gridCol w:w="753"/>
        <w:gridCol w:w="768"/>
        <w:gridCol w:w="770"/>
        <w:gridCol w:w="875"/>
      </w:tblGrid>
      <w:tr w:rsidR="00BA7FEA" w:rsidRPr="003C0183" w14:paraId="42E4652A" w14:textId="77777777" w:rsidTr="00683C41">
        <w:trPr>
          <w:trHeight w:val="345"/>
        </w:trPr>
        <w:tc>
          <w:tcPr>
            <w:tcW w:w="1158" w:type="dxa"/>
            <w:tcBorders>
              <w:top w:val="single" w:sz="10" w:space="0" w:color="000000"/>
              <w:left w:val="single" w:sz="10" w:space="0" w:color="000000"/>
              <w:bottom w:val="single" w:sz="10" w:space="0" w:color="000000"/>
            </w:tcBorders>
          </w:tcPr>
          <w:p w14:paraId="5AF93104" w14:textId="77777777" w:rsidR="00BA7FEA" w:rsidRPr="003C0183" w:rsidRDefault="00BA7FEA" w:rsidP="00683C41">
            <w:pPr>
              <w:pStyle w:val="Default"/>
              <w:rPr>
                <w:color w:val="auto"/>
              </w:rPr>
            </w:pPr>
          </w:p>
        </w:tc>
        <w:tc>
          <w:tcPr>
            <w:tcW w:w="1188" w:type="dxa"/>
            <w:tcBorders>
              <w:top w:val="single" w:sz="10" w:space="0" w:color="000000"/>
              <w:bottom w:val="single" w:sz="10" w:space="0" w:color="000000"/>
              <w:right w:val="single" w:sz="10" w:space="0" w:color="000000"/>
            </w:tcBorders>
          </w:tcPr>
          <w:p w14:paraId="24DA4FBB" w14:textId="77777777" w:rsidR="00BA7FEA" w:rsidRPr="003C0183" w:rsidRDefault="00BA7FEA" w:rsidP="00683C41">
            <w:pPr>
              <w:pStyle w:val="Default"/>
              <w:rPr>
                <w:color w:val="auto"/>
              </w:rPr>
            </w:pPr>
          </w:p>
        </w:tc>
        <w:tc>
          <w:tcPr>
            <w:tcW w:w="753" w:type="dxa"/>
            <w:tcBorders>
              <w:top w:val="single" w:sz="10" w:space="0" w:color="000000"/>
              <w:left w:val="single" w:sz="10" w:space="0" w:color="000000"/>
              <w:bottom w:val="single" w:sz="10" w:space="0" w:color="000000"/>
              <w:right w:val="single" w:sz="4" w:space="0" w:color="000000"/>
            </w:tcBorders>
            <w:vAlign w:val="bottom"/>
          </w:tcPr>
          <w:p w14:paraId="66317446" w14:textId="7777777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Value </w:t>
            </w:r>
          </w:p>
        </w:tc>
        <w:tc>
          <w:tcPr>
            <w:tcW w:w="768" w:type="dxa"/>
            <w:tcBorders>
              <w:top w:val="single" w:sz="10" w:space="0" w:color="000000"/>
              <w:left w:val="single" w:sz="4" w:space="0" w:color="000000"/>
              <w:bottom w:val="single" w:sz="10" w:space="0" w:color="000000"/>
              <w:right w:val="single" w:sz="4" w:space="0" w:color="000000"/>
            </w:tcBorders>
          </w:tcPr>
          <w:p w14:paraId="12469C3E" w14:textId="7199AC2C" w:rsidR="00BA7FEA" w:rsidRPr="003C0183" w:rsidRDefault="00BA7FEA">
            <w:pPr>
              <w:pStyle w:val="Default"/>
              <w:rPr>
                <w:rFonts w:ascii="Arial" w:hAnsi="Arial" w:cs="Arial"/>
                <w:sz w:val="10"/>
                <w:szCs w:val="10"/>
              </w:rPr>
            </w:pPr>
            <w:r w:rsidRPr="003C0183">
              <w:rPr>
                <w:rFonts w:ascii="Arial" w:hAnsi="Arial" w:cs="Arial"/>
                <w:sz w:val="13"/>
                <w:szCs w:val="13"/>
              </w:rPr>
              <w:t xml:space="preserve">Asymp. </w:t>
            </w:r>
            <w:r w:rsidR="00BA24B2" w:rsidRPr="00767297">
              <w:rPr>
                <w:rFonts w:ascii="Arial" w:hAnsi="Arial" w:cs="Arial"/>
                <w:i/>
                <w:sz w:val="13"/>
                <w:szCs w:val="13"/>
              </w:rPr>
              <w:t>SE</w:t>
            </w:r>
            <w:r w:rsidRPr="00767297">
              <w:rPr>
                <w:rFonts w:ascii="Arial" w:hAnsi="Arial" w:cs="Arial"/>
                <w:sz w:val="10"/>
                <w:szCs w:val="10"/>
                <w:vertAlign w:val="superscript"/>
              </w:rPr>
              <w:t>a</w:t>
            </w:r>
            <w:r w:rsidRPr="003C0183">
              <w:rPr>
                <w:rFonts w:ascii="Arial" w:hAnsi="Arial" w:cs="Arial"/>
                <w:sz w:val="10"/>
                <w:szCs w:val="10"/>
              </w:rPr>
              <w:t xml:space="preserve"> </w:t>
            </w:r>
          </w:p>
        </w:tc>
        <w:tc>
          <w:tcPr>
            <w:tcW w:w="770" w:type="dxa"/>
            <w:tcBorders>
              <w:top w:val="single" w:sz="10" w:space="0" w:color="000000"/>
              <w:left w:val="single" w:sz="4" w:space="0" w:color="000000"/>
              <w:bottom w:val="single" w:sz="10" w:space="0" w:color="000000"/>
              <w:right w:val="single" w:sz="4" w:space="0" w:color="000000"/>
            </w:tcBorders>
            <w:vAlign w:val="bottom"/>
          </w:tcPr>
          <w:p w14:paraId="39E49ED6" w14:textId="77777777" w:rsidR="00BA7FEA" w:rsidRPr="003C0183" w:rsidRDefault="00BA7FEA" w:rsidP="00683C41">
            <w:pPr>
              <w:pStyle w:val="Default"/>
              <w:rPr>
                <w:rFonts w:ascii="Arial" w:hAnsi="Arial" w:cs="Arial"/>
                <w:sz w:val="10"/>
                <w:szCs w:val="10"/>
              </w:rPr>
            </w:pPr>
            <w:r w:rsidRPr="003C0183">
              <w:rPr>
                <w:rFonts w:ascii="Arial" w:hAnsi="Arial" w:cs="Arial"/>
                <w:sz w:val="13"/>
                <w:szCs w:val="13"/>
              </w:rPr>
              <w:t xml:space="preserve">Approx. </w:t>
            </w:r>
            <w:r w:rsidRPr="00767297">
              <w:rPr>
                <w:rFonts w:ascii="Arial" w:hAnsi="Arial" w:cs="Arial"/>
                <w:i/>
                <w:sz w:val="13"/>
                <w:szCs w:val="13"/>
              </w:rPr>
              <w:t>T</w:t>
            </w:r>
            <w:r w:rsidRPr="00767297">
              <w:rPr>
                <w:rFonts w:ascii="Arial" w:hAnsi="Arial" w:cs="Arial"/>
                <w:sz w:val="10"/>
                <w:szCs w:val="10"/>
                <w:vertAlign w:val="superscript"/>
              </w:rPr>
              <w:t xml:space="preserve">b </w:t>
            </w:r>
          </w:p>
        </w:tc>
        <w:tc>
          <w:tcPr>
            <w:tcW w:w="875" w:type="dxa"/>
            <w:tcBorders>
              <w:top w:val="single" w:sz="10" w:space="0" w:color="000000"/>
              <w:left w:val="single" w:sz="4" w:space="0" w:color="000000"/>
              <w:bottom w:val="single" w:sz="10" w:space="0" w:color="000000"/>
              <w:right w:val="single" w:sz="10" w:space="0" w:color="000000"/>
            </w:tcBorders>
            <w:vAlign w:val="bottom"/>
          </w:tcPr>
          <w:p w14:paraId="12AE46F2" w14:textId="7777777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Approx. Sig. </w:t>
            </w:r>
          </w:p>
        </w:tc>
      </w:tr>
      <w:tr w:rsidR="00BA7FEA" w:rsidRPr="003C0183" w14:paraId="26C753FE" w14:textId="77777777" w:rsidTr="00683C41">
        <w:trPr>
          <w:trHeight w:val="563"/>
        </w:trPr>
        <w:tc>
          <w:tcPr>
            <w:tcW w:w="1158" w:type="dxa"/>
            <w:tcBorders>
              <w:top w:val="single" w:sz="10" w:space="0" w:color="000000"/>
              <w:left w:val="single" w:sz="10" w:space="0" w:color="000000"/>
              <w:bottom w:val="single" w:sz="10" w:space="0" w:color="000000"/>
            </w:tcBorders>
          </w:tcPr>
          <w:p w14:paraId="4F09DF63" w14:textId="7777777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Ordinal by Ordinal </w:t>
            </w:r>
            <w:r w:rsidRPr="00767297">
              <w:rPr>
                <w:rFonts w:ascii="Arial" w:hAnsi="Arial" w:cs="Arial"/>
                <w:i/>
                <w:sz w:val="13"/>
                <w:szCs w:val="13"/>
              </w:rPr>
              <w:t>N</w:t>
            </w:r>
            <w:r w:rsidRPr="003C0183">
              <w:rPr>
                <w:rFonts w:ascii="Arial" w:hAnsi="Arial" w:cs="Arial"/>
                <w:sz w:val="13"/>
                <w:szCs w:val="13"/>
              </w:rPr>
              <w:t xml:space="preserve"> of Valid Cases </w:t>
            </w:r>
          </w:p>
        </w:tc>
        <w:tc>
          <w:tcPr>
            <w:tcW w:w="1188" w:type="dxa"/>
            <w:tcBorders>
              <w:top w:val="single" w:sz="10" w:space="0" w:color="000000"/>
              <w:bottom w:val="single" w:sz="10" w:space="0" w:color="000000"/>
              <w:right w:val="single" w:sz="10" w:space="0" w:color="000000"/>
            </w:tcBorders>
          </w:tcPr>
          <w:p w14:paraId="48CBBEB8" w14:textId="5391652B"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Kendall's </w:t>
            </w:r>
            <w:r w:rsidR="008D138C" w:rsidRPr="003C0183">
              <w:rPr>
                <w:bCs/>
              </w:rPr>
              <w:t>τ</w:t>
            </w:r>
            <w:r w:rsidRPr="003C0183">
              <w:rPr>
                <w:rFonts w:ascii="Arial" w:hAnsi="Arial" w:cs="Arial"/>
                <w:sz w:val="13"/>
                <w:szCs w:val="13"/>
              </w:rPr>
              <w:t xml:space="preserve">-b Kendall's </w:t>
            </w:r>
            <w:r w:rsidR="008D138C" w:rsidRPr="003C0183">
              <w:rPr>
                <w:bCs/>
              </w:rPr>
              <w:t>τ</w:t>
            </w:r>
            <w:r w:rsidRPr="003C0183">
              <w:rPr>
                <w:rFonts w:ascii="Arial" w:hAnsi="Arial" w:cs="Arial"/>
                <w:sz w:val="13"/>
                <w:szCs w:val="13"/>
              </w:rPr>
              <w:t xml:space="preserve">-c </w:t>
            </w:r>
          </w:p>
        </w:tc>
        <w:tc>
          <w:tcPr>
            <w:tcW w:w="753" w:type="dxa"/>
            <w:tcBorders>
              <w:top w:val="single" w:sz="10" w:space="0" w:color="000000"/>
              <w:left w:val="single" w:sz="10" w:space="0" w:color="000000"/>
              <w:bottom w:val="single" w:sz="10" w:space="0" w:color="000000"/>
              <w:right w:val="single" w:sz="4" w:space="0" w:color="000000"/>
            </w:tcBorders>
          </w:tcPr>
          <w:p w14:paraId="4B6065F2" w14:textId="7777777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.396 .301 1030 </w:t>
            </w:r>
          </w:p>
        </w:tc>
        <w:tc>
          <w:tcPr>
            <w:tcW w:w="768" w:type="dxa"/>
            <w:tcBorders>
              <w:top w:val="single" w:sz="10" w:space="0" w:color="000000"/>
              <w:left w:val="single" w:sz="4" w:space="0" w:color="000000"/>
              <w:bottom w:val="single" w:sz="10" w:space="0" w:color="000000"/>
              <w:right w:val="single" w:sz="4" w:space="0" w:color="000000"/>
            </w:tcBorders>
          </w:tcPr>
          <w:p w14:paraId="4C33CB3B" w14:textId="7777777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.028 .022 </w:t>
            </w:r>
          </w:p>
        </w:tc>
        <w:tc>
          <w:tcPr>
            <w:tcW w:w="770" w:type="dxa"/>
            <w:tcBorders>
              <w:top w:val="single" w:sz="10" w:space="0" w:color="000000"/>
              <w:left w:val="single" w:sz="4" w:space="0" w:color="000000"/>
              <w:bottom w:val="single" w:sz="10" w:space="0" w:color="000000"/>
              <w:right w:val="single" w:sz="4" w:space="0" w:color="000000"/>
            </w:tcBorders>
          </w:tcPr>
          <w:p w14:paraId="7A0879DC" w14:textId="7777777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13.671 13.671 </w:t>
            </w:r>
          </w:p>
        </w:tc>
        <w:tc>
          <w:tcPr>
            <w:tcW w:w="875" w:type="dxa"/>
            <w:tcBorders>
              <w:top w:val="single" w:sz="10" w:space="0" w:color="000000"/>
              <w:left w:val="single" w:sz="4" w:space="0" w:color="000000"/>
              <w:bottom w:val="single" w:sz="10" w:space="0" w:color="000000"/>
              <w:right w:val="single" w:sz="10" w:space="0" w:color="000000"/>
            </w:tcBorders>
          </w:tcPr>
          <w:p w14:paraId="3237EE8D" w14:textId="77777777" w:rsidR="00BA7FEA" w:rsidRPr="003C0183" w:rsidRDefault="00BA7FEA" w:rsidP="00683C41">
            <w:pPr>
              <w:pStyle w:val="Default"/>
              <w:rPr>
                <w:rFonts w:ascii="Arial" w:hAnsi="Arial" w:cs="Arial"/>
                <w:sz w:val="13"/>
                <w:szCs w:val="13"/>
              </w:rPr>
            </w:pPr>
            <w:r w:rsidRPr="003C0183">
              <w:rPr>
                <w:rFonts w:ascii="Arial" w:hAnsi="Arial" w:cs="Arial"/>
                <w:sz w:val="13"/>
                <w:szCs w:val="13"/>
              </w:rPr>
              <w:t xml:space="preserve">.000 .000 </w:t>
            </w:r>
          </w:p>
        </w:tc>
      </w:tr>
    </w:tbl>
    <w:p w14:paraId="47EDF6AA" w14:textId="77777777" w:rsidR="00BA7FEA" w:rsidRPr="003C0183" w:rsidRDefault="00BA7FEA" w:rsidP="00BA7FEA">
      <w:pPr>
        <w:pStyle w:val="Default"/>
        <w:rPr>
          <w:color w:val="auto"/>
        </w:rPr>
      </w:pPr>
    </w:p>
    <w:p w14:paraId="0F1CA4DD" w14:textId="2026D395" w:rsidR="00BA7FEA" w:rsidRDefault="00BA7FEA" w:rsidP="00767297">
      <w:pPr>
        <w:pStyle w:val="Default"/>
        <w:rPr>
          <w:color w:val="auto"/>
        </w:rPr>
      </w:pPr>
      <w:r w:rsidRPr="00767297">
        <w:rPr>
          <w:color w:val="auto"/>
          <w:vertAlign w:val="superscript"/>
        </w:rPr>
        <w:t>a</w:t>
      </w:r>
      <w:r w:rsidRPr="003C0183">
        <w:rPr>
          <w:color w:val="auto"/>
        </w:rPr>
        <w:t>Not</w:t>
      </w:r>
      <w:r>
        <w:rPr>
          <w:color w:val="auto"/>
        </w:rPr>
        <w:t xml:space="preserve"> assuming the null hypothesis. </w:t>
      </w:r>
    </w:p>
    <w:p w14:paraId="58ED623D" w14:textId="0C8FB86C" w:rsidR="00BA7FEA" w:rsidRDefault="00BA7FEA" w:rsidP="00767297">
      <w:pPr>
        <w:pStyle w:val="Default"/>
        <w:rPr>
          <w:color w:val="auto"/>
        </w:rPr>
      </w:pPr>
      <w:r w:rsidRPr="00767297">
        <w:rPr>
          <w:color w:val="auto"/>
          <w:vertAlign w:val="superscript"/>
        </w:rPr>
        <w:t>b</w:t>
      </w:r>
      <w:r>
        <w:rPr>
          <w:color w:val="auto"/>
        </w:rPr>
        <w:t xml:space="preserve">Using the asymptotic standard error assuming the null hypothesis. </w:t>
      </w:r>
    </w:p>
    <w:p w14:paraId="25DEA198" w14:textId="77777777" w:rsidR="00BA7FEA" w:rsidRDefault="00BA7FEA" w:rsidP="00BA7FEA">
      <w:pPr>
        <w:pStyle w:val="Default"/>
        <w:rPr>
          <w:color w:val="auto"/>
        </w:rPr>
      </w:pPr>
    </w:p>
    <w:p w14:paraId="68E9F91E" w14:textId="00A2D10B" w:rsidR="00BA7FEA" w:rsidRDefault="00BA7FEA" w:rsidP="00BA7FEA">
      <w:pPr>
        <w:pStyle w:val="CM78"/>
        <w:spacing w:line="276" w:lineRule="atLeast"/>
      </w:pPr>
      <w:r>
        <w:rPr>
          <w:b/>
          <w:bCs/>
        </w:rPr>
        <w:lastRenderedPageBreak/>
        <w:t>2. Use the Public Perceptions data</w:t>
      </w:r>
      <w:r w:rsidR="00F23EF1">
        <w:rPr>
          <w:b/>
          <w:bCs/>
        </w:rPr>
        <w:t xml:space="preserve"> </w:t>
      </w:r>
      <w:r>
        <w:rPr>
          <w:b/>
          <w:bCs/>
        </w:rPr>
        <w:t>set. What is the association between having a positive view of the county government (Posview) and satisfaction with the various services that are mentioned, such as law enforcement (Lawenf)?</w:t>
      </w:r>
    </w:p>
    <w:p w14:paraId="7306D6E0" w14:textId="77777777" w:rsidR="00BA7FEA" w:rsidRDefault="00BA7FEA" w:rsidP="00BA7FEA">
      <w:pPr>
        <w:pStyle w:val="CM75"/>
        <w:ind w:left="90" w:right="6283"/>
        <w:rPr>
          <w:rFonts w:ascii="Arial" w:hAnsi="Arial" w:cs="Arial"/>
          <w:b/>
          <w:bCs/>
          <w:sz w:val="15"/>
          <w:szCs w:val="15"/>
        </w:rPr>
      </w:pPr>
      <w:r>
        <w:rPr>
          <w:rFonts w:ascii="Arial" w:hAnsi="Arial" w:cs="Arial"/>
          <w:b/>
          <w:bCs/>
          <w:noProof/>
          <w:sz w:val="15"/>
          <w:szCs w:val="15"/>
        </w:rPr>
        <w:drawing>
          <wp:inline distT="0" distB="0" distL="0" distR="0" wp14:anchorId="28A88342" wp14:editId="63C04F6B">
            <wp:extent cx="6299200" cy="2937813"/>
            <wp:effectExtent l="19050" t="0" r="635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299200" cy="2937813"/>
                    </a:xfrm>
                    <a:prstGeom prst="rect">
                      <a:avLst/>
                    </a:prstGeom>
                    <a:noFill/>
                    <a:ln w="9525">
                      <a:noFill/>
                      <a:miter lim="800000"/>
                      <a:headEnd/>
                      <a:tailEnd/>
                    </a:ln>
                  </pic:spPr>
                </pic:pic>
              </a:graphicData>
            </a:graphic>
          </wp:inline>
        </w:drawing>
      </w:r>
    </w:p>
    <w:p w14:paraId="686E4D8D" w14:textId="77777777" w:rsidR="00BA7FEA" w:rsidRDefault="00BA7FEA" w:rsidP="00BA7FEA">
      <w:pPr>
        <w:pStyle w:val="CM75"/>
        <w:ind w:left="1703" w:right="6283"/>
        <w:rPr>
          <w:rFonts w:ascii="Arial" w:hAnsi="Arial" w:cs="Arial"/>
          <w:b/>
          <w:bCs/>
          <w:sz w:val="15"/>
          <w:szCs w:val="15"/>
        </w:rPr>
      </w:pPr>
    </w:p>
    <w:p w14:paraId="6AA215ED" w14:textId="013A4341" w:rsidR="00BA7FEA" w:rsidRDefault="008D138C" w:rsidP="00BA7FEA">
      <w:pPr>
        <w:pStyle w:val="CM75"/>
        <w:ind w:left="1703" w:right="6283"/>
        <w:rPr>
          <w:rFonts w:ascii="Arial" w:hAnsi="Arial" w:cs="Arial"/>
          <w:sz w:val="15"/>
          <w:szCs w:val="15"/>
        </w:rPr>
      </w:pPr>
      <w:r w:rsidRPr="00343051">
        <w:rPr>
          <w:b/>
          <w:bCs/>
        </w:rPr>
        <w:t>χ</w:t>
      </w:r>
      <w:r w:rsidRPr="00343051">
        <w:rPr>
          <w:b/>
          <w:bCs/>
          <w:vertAlign w:val="superscript"/>
        </w:rPr>
        <w:t>2</w:t>
      </w:r>
      <w:r w:rsidR="00BA7FEA">
        <w:rPr>
          <w:rFonts w:ascii="Arial" w:hAnsi="Arial" w:cs="Arial"/>
          <w:b/>
          <w:bCs/>
          <w:sz w:val="15"/>
          <w:szCs w:val="15"/>
        </w:rPr>
        <w:t xml:space="preserve"> Tests </w:t>
      </w:r>
    </w:p>
    <w:tbl>
      <w:tblPr>
        <w:tblW w:w="4405" w:type="dxa"/>
        <w:tblLook w:val="0000" w:firstRow="0" w:lastRow="0" w:firstColumn="0" w:lastColumn="0" w:noHBand="0" w:noVBand="0"/>
      </w:tblPr>
      <w:tblGrid>
        <w:gridCol w:w="1599"/>
        <w:gridCol w:w="860"/>
        <w:gridCol w:w="878"/>
        <w:gridCol w:w="1068"/>
      </w:tblGrid>
      <w:tr w:rsidR="00BA7FEA" w:rsidRPr="003C0183" w14:paraId="4BF4C987" w14:textId="77777777" w:rsidTr="00683C41">
        <w:trPr>
          <w:trHeight w:val="393"/>
        </w:trPr>
        <w:tc>
          <w:tcPr>
            <w:tcW w:w="1600" w:type="dxa"/>
            <w:tcBorders>
              <w:top w:val="single" w:sz="10" w:space="0" w:color="000000"/>
              <w:left w:val="single" w:sz="10" w:space="0" w:color="000000"/>
              <w:bottom w:val="single" w:sz="10" w:space="0" w:color="000000"/>
              <w:right w:val="single" w:sz="10" w:space="0" w:color="000000"/>
            </w:tcBorders>
          </w:tcPr>
          <w:p w14:paraId="67302107" w14:textId="77777777" w:rsidR="00BA7FEA" w:rsidRPr="003C0183" w:rsidRDefault="00BA7FEA" w:rsidP="00683C41">
            <w:pPr>
              <w:pStyle w:val="Default"/>
              <w:rPr>
                <w:color w:val="auto"/>
              </w:rPr>
            </w:pPr>
          </w:p>
        </w:tc>
        <w:tc>
          <w:tcPr>
            <w:tcW w:w="860" w:type="dxa"/>
            <w:tcBorders>
              <w:top w:val="single" w:sz="10" w:space="0" w:color="000000"/>
              <w:left w:val="single" w:sz="10" w:space="0" w:color="000000"/>
              <w:bottom w:val="single" w:sz="10" w:space="0" w:color="000000"/>
              <w:right w:val="single" w:sz="6" w:space="0" w:color="000000"/>
            </w:tcBorders>
            <w:vAlign w:val="bottom"/>
          </w:tcPr>
          <w:p w14:paraId="3C6FF404" w14:textId="77777777" w:rsidR="00BA7FEA" w:rsidRPr="003C0183" w:rsidRDefault="00BA7FEA" w:rsidP="00683C41">
            <w:pPr>
              <w:pStyle w:val="Default"/>
              <w:jc w:val="center"/>
              <w:rPr>
                <w:rFonts w:ascii="Arial" w:hAnsi="Arial" w:cs="Arial"/>
                <w:sz w:val="15"/>
                <w:szCs w:val="15"/>
              </w:rPr>
            </w:pPr>
            <w:r w:rsidRPr="003C0183">
              <w:rPr>
                <w:rFonts w:ascii="Arial" w:hAnsi="Arial" w:cs="Arial"/>
                <w:sz w:val="15"/>
                <w:szCs w:val="15"/>
              </w:rPr>
              <w:t xml:space="preserve">Value </w:t>
            </w:r>
          </w:p>
        </w:tc>
        <w:tc>
          <w:tcPr>
            <w:tcW w:w="878" w:type="dxa"/>
            <w:tcBorders>
              <w:top w:val="single" w:sz="10" w:space="0" w:color="000000"/>
              <w:left w:val="single" w:sz="6" w:space="0" w:color="000000"/>
              <w:bottom w:val="single" w:sz="10" w:space="0" w:color="000000"/>
              <w:right w:val="single" w:sz="6" w:space="0" w:color="000000"/>
            </w:tcBorders>
            <w:vAlign w:val="bottom"/>
          </w:tcPr>
          <w:p w14:paraId="2DF11B91" w14:textId="77777777" w:rsidR="00BA7FEA" w:rsidRPr="003C0183" w:rsidRDefault="00BA7FEA" w:rsidP="00683C41">
            <w:pPr>
              <w:pStyle w:val="Default"/>
              <w:jc w:val="center"/>
              <w:rPr>
                <w:rFonts w:ascii="Arial" w:hAnsi="Arial" w:cs="Arial"/>
                <w:sz w:val="15"/>
                <w:szCs w:val="15"/>
              </w:rPr>
            </w:pPr>
            <w:r w:rsidRPr="00767297">
              <w:rPr>
                <w:rFonts w:ascii="Arial" w:hAnsi="Arial" w:cs="Arial"/>
                <w:i/>
                <w:sz w:val="15"/>
                <w:szCs w:val="15"/>
              </w:rPr>
              <w:t>df</w:t>
            </w:r>
            <w:r w:rsidRPr="003C0183">
              <w:rPr>
                <w:rFonts w:ascii="Arial" w:hAnsi="Arial" w:cs="Arial"/>
                <w:sz w:val="15"/>
                <w:szCs w:val="15"/>
              </w:rPr>
              <w:t xml:space="preserve"> </w:t>
            </w:r>
          </w:p>
        </w:tc>
        <w:tc>
          <w:tcPr>
            <w:tcW w:w="1068" w:type="dxa"/>
            <w:tcBorders>
              <w:top w:val="single" w:sz="10" w:space="0" w:color="000000"/>
              <w:left w:val="single" w:sz="6" w:space="0" w:color="000000"/>
              <w:bottom w:val="single" w:sz="10" w:space="0" w:color="000000"/>
              <w:right w:val="single" w:sz="10" w:space="0" w:color="000000"/>
            </w:tcBorders>
          </w:tcPr>
          <w:p w14:paraId="15BB428D" w14:textId="3E107914" w:rsidR="00BA7FEA" w:rsidRPr="003C0183" w:rsidRDefault="00BA7FEA">
            <w:pPr>
              <w:pStyle w:val="Default"/>
              <w:rPr>
                <w:rFonts w:ascii="Arial" w:hAnsi="Arial" w:cs="Arial"/>
                <w:sz w:val="15"/>
                <w:szCs w:val="15"/>
              </w:rPr>
            </w:pPr>
            <w:r w:rsidRPr="003C0183">
              <w:rPr>
                <w:rFonts w:ascii="Arial" w:hAnsi="Arial" w:cs="Arial"/>
                <w:sz w:val="15"/>
                <w:szCs w:val="15"/>
              </w:rPr>
              <w:t>Asymp. Sig. (</w:t>
            </w:r>
            <w:r w:rsidR="0034490C" w:rsidRPr="003C0183">
              <w:rPr>
                <w:rFonts w:ascii="Arial" w:hAnsi="Arial" w:cs="Arial"/>
                <w:sz w:val="15"/>
                <w:szCs w:val="15"/>
              </w:rPr>
              <w:t>Two</w:t>
            </w:r>
            <w:r w:rsidR="004E6081">
              <w:rPr>
                <w:rFonts w:ascii="Arial" w:hAnsi="Arial" w:cs="Arial"/>
                <w:sz w:val="15"/>
                <w:szCs w:val="15"/>
              </w:rPr>
              <w:t xml:space="preserve"> S</w:t>
            </w:r>
            <w:r w:rsidRPr="003C0183">
              <w:rPr>
                <w:rFonts w:ascii="Arial" w:hAnsi="Arial" w:cs="Arial"/>
                <w:sz w:val="15"/>
                <w:szCs w:val="15"/>
              </w:rPr>
              <w:t xml:space="preserve">ided) </w:t>
            </w:r>
          </w:p>
        </w:tc>
      </w:tr>
      <w:tr w:rsidR="00BA7FEA" w:rsidRPr="003C0183" w14:paraId="1E3710F7" w14:textId="77777777" w:rsidTr="00683C41">
        <w:trPr>
          <w:trHeight w:val="1050"/>
        </w:trPr>
        <w:tc>
          <w:tcPr>
            <w:tcW w:w="1600" w:type="dxa"/>
            <w:tcBorders>
              <w:top w:val="single" w:sz="10" w:space="0" w:color="000000"/>
              <w:left w:val="single" w:sz="10" w:space="0" w:color="000000"/>
              <w:bottom w:val="single" w:sz="10" w:space="0" w:color="000000"/>
              <w:right w:val="single" w:sz="10" w:space="0" w:color="000000"/>
            </w:tcBorders>
          </w:tcPr>
          <w:p w14:paraId="08E423A0" w14:textId="1901D065" w:rsidR="00542E35" w:rsidRPr="003C0183" w:rsidRDefault="00BA7FEA" w:rsidP="00E43138">
            <w:pPr>
              <w:pStyle w:val="Default"/>
              <w:rPr>
                <w:rFonts w:ascii="Arial" w:hAnsi="Arial" w:cs="Arial"/>
                <w:sz w:val="15"/>
                <w:szCs w:val="15"/>
              </w:rPr>
            </w:pPr>
            <w:r w:rsidRPr="003C0183">
              <w:rPr>
                <w:rFonts w:ascii="Arial" w:hAnsi="Arial" w:cs="Arial"/>
                <w:sz w:val="15"/>
                <w:szCs w:val="15"/>
              </w:rPr>
              <w:t xml:space="preserve">Pearson </w:t>
            </w:r>
            <w:r w:rsidR="00F23EF1" w:rsidRPr="003C0183">
              <w:rPr>
                <w:rFonts w:ascii="Arial" w:hAnsi="Arial" w:cs="Arial"/>
                <w:sz w:val="15"/>
                <w:szCs w:val="15"/>
              </w:rPr>
              <w:t>χ</w:t>
            </w:r>
            <w:r w:rsidR="00F23EF1" w:rsidRPr="00767297">
              <w:rPr>
                <w:rFonts w:ascii="Arial" w:hAnsi="Arial" w:cs="Arial"/>
                <w:sz w:val="15"/>
                <w:szCs w:val="15"/>
                <w:vertAlign w:val="superscript"/>
              </w:rPr>
              <w:t>2</w:t>
            </w:r>
            <w:r w:rsidR="00F23EF1" w:rsidRPr="003C0183">
              <w:rPr>
                <w:rFonts w:ascii="Arial" w:hAnsi="Arial" w:cs="Arial"/>
                <w:sz w:val="15"/>
                <w:szCs w:val="15"/>
              </w:rPr>
              <w:t xml:space="preserve"> </w:t>
            </w:r>
          </w:p>
          <w:p w14:paraId="333773F6" w14:textId="75A45F92" w:rsidR="00542E35" w:rsidRPr="003C0183" w:rsidRDefault="00BA7FEA" w:rsidP="00E43138">
            <w:pPr>
              <w:pStyle w:val="Default"/>
              <w:rPr>
                <w:rFonts w:ascii="Arial" w:hAnsi="Arial" w:cs="Arial"/>
                <w:sz w:val="15"/>
                <w:szCs w:val="15"/>
              </w:rPr>
            </w:pPr>
            <w:r w:rsidRPr="003C0183">
              <w:rPr>
                <w:rFonts w:ascii="Arial" w:hAnsi="Arial" w:cs="Arial"/>
                <w:sz w:val="15"/>
                <w:szCs w:val="15"/>
              </w:rPr>
              <w:t>Likelihood Ratio</w:t>
            </w:r>
          </w:p>
          <w:p w14:paraId="71687F1A" w14:textId="3DF35CAD" w:rsidR="00542E35" w:rsidRPr="003C0183" w:rsidRDefault="00BA7FEA" w:rsidP="00E43138">
            <w:pPr>
              <w:pStyle w:val="Default"/>
              <w:rPr>
                <w:rFonts w:ascii="Arial" w:hAnsi="Arial" w:cs="Arial"/>
                <w:sz w:val="15"/>
                <w:szCs w:val="15"/>
              </w:rPr>
            </w:pPr>
            <w:r w:rsidRPr="003C0183">
              <w:rPr>
                <w:rFonts w:ascii="Arial" w:hAnsi="Arial" w:cs="Arial"/>
                <w:sz w:val="15"/>
                <w:szCs w:val="15"/>
              </w:rPr>
              <w:t>Linear-by-Linear Association</w:t>
            </w:r>
          </w:p>
          <w:p w14:paraId="50E10760" w14:textId="3C371D42" w:rsidR="00BA7FEA" w:rsidRPr="003C0183" w:rsidRDefault="00BA7FEA" w:rsidP="00E43138">
            <w:pPr>
              <w:pStyle w:val="Default"/>
              <w:rPr>
                <w:rFonts w:ascii="Arial" w:hAnsi="Arial" w:cs="Arial"/>
                <w:sz w:val="15"/>
                <w:szCs w:val="15"/>
              </w:rPr>
            </w:pPr>
            <w:r w:rsidRPr="003C0183">
              <w:rPr>
                <w:rFonts w:ascii="Arial" w:hAnsi="Arial" w:cs="Arial"/>
                <w:sz w:val="15"/>
                <w:szCs w:val="15"/>
              </w:rPr>
              <w:t xml:space="preserve">N of Valid Cases </w:t>
            </w:r>
          </w:p>
        </w:tc>
        <w:tc>
          <w:tcPr>
            <w:tcW w:w="860" w:type="dxa"/>
            <w:tcBorders>
              <w:top w:val="single" w:sz="10" w:space="0" w:color="000000"/>
              <w:left w:val="single" w:sz="10" w:space="0" w:color="000000"/>
              <w:bottom w:val="single" w:sz="10" w:space="0" w:color="000000"/>
              <w:right w:val="single" w:sz="6" w:space="0" w:color="000000"/>
            </w:tcBorders>
          </w:tcPr>
          <w:p w14:paraId="63E4BC53" w14:textId="77777777" w:rsidR="0034490C" w:rsidRPr="00767297" w:rsidRDefault="00BA7FEA" w:rsidP="00683C41">
            <w:pPr>
              <w:pStyle w:val="Default"/>
              <w:jc w:val="center"/>
              <w:rPr>
                <w:rFonts w:ascii="Arial" w:hAnsi="Arial" w:cs="Arial"/>
                <w:sz w:val="11"/>
                <w:szCs w:val="11"/>
              </w:rPr>
            </w:pPr>
            <w:r w:rsidRPr="003C0183">
              <w:rPr>
                <w:rFonts w:ascii="Arial" w:hAnsi="Arial" w:cs="Arial"/>
                <w:sz w:val="15"/>
                <w:szCs w:val="15"/>
              </w:rPr>
              <w:t>99.969</w:t>
            </w:r>
            <w:r w:rsidRPr="00767297">
              <w:rPr>
                <w:rFonts w:ascii="Arial" w:hAnsi="Arial" w:cs="Arial"/>
                <w:sz w:val="11"/>
                <w:szCs w:val="11"/>
                <w:vertAlign w:val="superscript"/>
              </w:rPr>
              <w:t>a</w:t>
            </w:r>
          </w:p>
          <w:p w14:paraId="59199CCF" w14:textId="296A4099" w:rsidR="0034490C" w:rsidRPr="00767297" w:rsidRDefault="00BA7FEA" w:rsidP="00683C41">
            <w:pPr>
              <w:pStyle w:val="Default"/>
              <w:jc w:val="center"/>
              <w:rPr>
                <w:rFonts w:ascii="Arial" w:hAnsi="Arial" w:cs="Arial"/>
                <w:sz w:val="15"/>
                <w:szCs w:val="15"/>
              </w:rPr>
            </w:pPr>
            <w:r w:rsidRPr="003C0183">
              <w:rPr>
                <w:rFonts w:ascii="Arial" w:hAnsi="Arial" w:cs="Arial"/>
                <w:sz w:val="15"/>
                <w:szCs w:val="15"/>
              </w:rPr>
              <w:t>77.266</w:t>
            </w:r>
          </w:p>
          <w:p w14:paraId="46A1972D" w14:textId="6C3CFC54" w:rsidR="0034490C" w:rsidRPr="00767297" w:rsidRDefault="00BA7FEA" w:rsidP="00683C41">
            <w:pPr>
              <w:pStyle w:val="Default"/>
              <w:jc w:val="center"/>
              <w:rPr>
                <w:rFonts w:ascii="Arial" w:hAnsi="Arial" w:cs="Arial"/>
                <w:sz w:val="15"/>
                <w:szCs w:val="15"/>
              </w:rPr>
            </w:pPr>
            <w:r w:rsidRPr="003C0183">
              <w:rPr>
                <w:rFonts w:ascii="Arial" w:hAnsi="Arial" w:cs="Arial"/>
                <w:sz w:val="15"/>
                <w:szCs w:val="15"/>
              </w:rPr>
              <w:t>66.092</w:t>
            </w:r>
          </w:p>
          <w:p w14:paraId="40317B5B" w14:textId="7AA91F0B" w:rsidR="00BA7FEA" w:rsidRPr="003C0183" w:rsidRDefault="00BA7FEA" w:rsidP="00683C41">
            <w:pPr>
              <w:pStyle w:val="Default"/>
              <w:jc w:val="center"/>
              <w:rPr>
                <w:rFonts w:ascii="Arial" w:hAnsi="Arial" w:cs="Arial"/>
                <w:sz w:val="15"/>
                <w:szCs w:val="15"/>
              </w:rPr>
            </w:pPr>
            <w:r w:rsidRPr="003C0183">
              <w:rPr>
                <w:rFonts w:ascii="Arial" w:hAnsi="Arial" w:cs="Arial"/>
                <w:sz w:val="15"/>
                <w:szCs w:val="15"/>
              </w:rPr>
              <w:t xml:space="preserve">992 </w:t>
            </w:r>
          </w:p>
        </w:tc>
        <w:tc>
          <w:tcPr>
            <w:tcW w:w="878" w:type="dxa"/>
            <w:tcBorders>
              <w:top w:val="single" w:sz="10" w:space="0" w:color="000000"/>
              <w:left w:val="single" w:sz="6" w:space="0" w:color="000000"/>
              <w:bottom w:val="single" w:sz="10" w:space="0" w:color="000000"/>
              <w:right w:val="single" w:sz="6" w:space="0" w:color="000000"/>
            </w:tcBorders>
          </w:tcPr>
          <w:p w14:paraId="45561C03" w14:textId="77777777" w:rsidR="0034490C" w:rsidRPr="00767297" w:rsidRDefault="00BA7FEA" w:rsidP="00683C41">
            <w:pPr>
              <w:pStyle w:val="Default"/>
              <w:jc w:val="center"/>
              <w:rPr>
                <w:rFonts w:ascii="Arial" w:hAnsi="Arial" w:cs="Arial"/>
                <w:sz w:val="15"/>
                <w:szCs w:val="15"/>
              </w:rPr>
            </w:pPr>
            <w:r w:rsidRPr="003C0183">
              <w:rPr>
                <w:rFonts w:ascii="Arial" w:hAnsi="Arial" w:cs="Arial"/>
                <w:sz w:val="15"/>
                <w:szCs w:val="15"/>
              </w:rPr>
              <w:t>12</w:t>
            </w:r>
          </w:p>
          <w:p w14:paraId="137D83A6" w14:textId="4518E4DA" w:rsidR="0034490C" w:rsidRPr="00767297" w:rsidRDefault="00BA7FEA" w:rsidP="00683C41">
            <w:pPr>
              <w:pStyle w:val="Default"/>
              <w:jc w:val="center"/>
              <w:rPr>
                <w:rFonts w:ascii="Arial" w:hAnsi="Arial" w:cs="Arial"/>
                <w:sz w:val="15"/>
                <w:szCs w:val="15"/>
              </w:rPr>
            </w:pPr>
            <w:r w:rsidRPr="003C0183">
              <w:rPr>
                <w:rFonts w:ascii="Arial" w:hAnsi="Arial" w:cs="Arial"/>
                <w:sz w:val="15"/>
                <w:szCs w:val="15"/>
              </w:rPr>
              <w:t>12</w:t>
            </w:r>
          </w:p>
          <w:p w14:paraId="513021A3" w14:textId="671062C6" w:rsidR="00BA7FEA" w:rsidRPr="003C0183" w:rsidRDefault="00BA7FEA" w:rsidP="00683C41">
            <w:pPr>
              <w:pStyle w:val="Default"/>
              <w:jc w:val="center"/>
              <w:rPr>
                <w:rFonts w:ascii="Arial" w:hAnsi="Arial" w:cs="Arial"/>
                <w:sz w:val="15"/>
                <w:szCs w:val="15"/>
              </w:rPr>
            </w:pPr>
            <w:r w:rsidRPr="003C0183">
              <w:rPr>
                <w:rFonts w:ascii="Arial" w:hAnsi="Arial" w:cs="Arial"/>
                <w:sz w:val="15"/>
                <w:szCs w:val="15"/>
              </w:rPr>
              <w:t xml:space="preserve">1 </w:t>
            </w:r>
          </w:p>
        </w:tc>
        <w:tc>
          <w:tcPr>
            <w:tcW w:w="1068" w:type="dxa"/>
            <w:tcBorders>
              <w:top w:val="single" w:sz="10" w:space="0" w:color="000000"/>
              <w:left w:val="single" w:sz="6" w:space="0" w:color="000000"/>
              <w:bottom w:val="single" w:sz="10" w:space="0" w:color="000000"/>
              <w:right w:val="single" w:sz="10" w:space="0" w:color="000000"/>
            </w:tcBorders>
          </w:tcPr>
          <w:p w14:paraId="3E875C1B" w14:textId="77777777" w:rsidR="0034490C" w:rsidRPr="003C0183" w:rsidRDefault="00BA7FEA" w:rsidP="00683C41">
            <w:pPr>
              <w:pStyle w:val="Default"/>
              <w:rPr>
                <w:rFonts w:ascii="Arial" w:hAnsi="Arial" w:cs="Arial"/>
                <w:sz w:val="15"/>
                <w:szCs w:val="15"/>
              </w:rPr>
            </w:pPr>
            <w:r w:rsidRPr="003C0183">
              <w:rPr>
                <w:rFonts w:ascii="Arial" w:hAnsi="Arial" w:cs="Arial"/>
                <w:sz w:val="15"/>
                <w:szCs w:val="15"/>
              </w:rPr>
              <w:t>.000</w:t>
            </w:r>
          </w:p>
          <w:p w14:paraId="69E5553E" w14:textId="7AAA2F20" w:rsidR="0034490C" w:rsidRPr="003C0183" w:rsidRDefault="00BA7FEA" w:rsidP="00683C41">
            <w:pPr>
              <w:pStyle w:val="Default"/>
              <w:rPr>
                <w:rFonts w:ascii="Arial" w:hAnsi="Arial" w:cs="Arial"/>
                <w:sz w:val="15"/>
                <w:szCs w:val="15"/>
              </w:rPr>
            </w:pPr>
            <w:r w:rsidRPr="003C0183">
              <w:rPr>
                <w:rFonts w:ascii="Arial" w:hAnsi="Arial" w:cs="Arial"/>
                <w:sz w:val="15"/>
                <w:szCs w:val="15"/>
              </w:rPr>
              <w:t>.000</w:t>
            </w:r>
          </w:p>
          <w:p w14:paraId="1E0418C5" w14:textId="6DDEDFB9" w:rsidR="00BA7FEA" w:rsidRPr="003C0183" w:rsidRDefault="00BA7FEA" w:rsidP="00683C41">
            <w:pPr>
              <w:pStyle w:val="Default"/>
              <w:rPr>
                <w:rFonts w:ascii="Arial" w:hAnsi="Arial" w:cs="Arial"/>
                <w:sz w:val="15"/>
                <w:szCs w:val="15"/>
              </w:rPr>
            </w:pPr>
            <w:r w:rsidRPr="003C0183">
              <w:rPr>
                <w:rFonts w:ascii="Arial" w:hAnsi="Arial" w:cs="Arial"/>
                <w:sz w:val="15"/>
                <w:szCs w:val="15"/>
              </w:rPr>
              <w:t xml:space="preserve">.000 </w:t>
            </w:r>
          </w:p>
        </w:tc>
      </w:tr>
    </w:tbl>
    <w:p w14:paraId="41928D93" w14:textId="77777777" w:rsidR="00BA7FEA" w:rsidRPr="003C0183" w:rsidRDefault="00BA7FEA" w:rsidP="00BA7FEA">
      <w:pPr>
        <w:pStyle w:val="Default"/>
        <w:rPr>
          <w:color w:val="auto"/>
        </w:rPr>
      </w:pPr>
    </w:p>
    <w:p w14:paraId="2E4E22EF" w14:textId="1A39BB37" w:rsidR="00BA7FEA" w:rsidRDefault="00BA7FEA" w:rsidP="00BA7FEA">
      <w:pPr>
        <w:pStyle w:val="CM73"/>
        <w:spacing w:line="173" w:lineRule="atLeast"/>
        <w:ind w:left="163" w:hanging="162"/>
        <w:jc w:val="both"/>
      </w:pPr>
      <w:r w:rsidRPr="003C0183">
        <w:t xml:space="preserve">a. </w:t>
      </w:r>
      <w:r w:rsidR="00F23EF1" w:rsidRPr="003C0183">
        <w:t>E</w:t>
      </w:r>
      <w:r w:rsidR="00F23EF1">
        <w:t xml:space="preserve">ight </w:t>
      </w:r>
      <w:r>
        <w:t xml:space="preserve">cells (40.0%) have expected count less than 5. The minimum expected count is .64. </w:t>
      </w:r>
    </w:p>
    <w:p w14:paraId="069EFF33" w14:textId="77777777" w:rsidR="00BA7FEA" w:rsidRDefault="00BA7FEA" w:rsidP="00BA7FEA">
      <w:pPr>
        <w:pStyle w:val="CM75"/>
        <w:ind w:left="2138"/>
        <w:jc w:val="both"/>
        <w:rPr>
          <w:rFonts w:ascii="Arial" w:hAnsi="Arial" w:cs="Arial"/>
        </w:rPr>
      </w:pPr>
      <w:r>
        <w:rPr>
          <w:rFonts w:ascii="Arial" w:hAnsi="Arial" w:cs="Arial"/>
          <w:b/>
          <w:bCs/>
        </w:rPr>
        <w:t xml:space="preserve">Symmetric Measures </w:t>
      </w:r>
    </w:p>
    <w:tbl>
      <w:tblPr>
        <w:tblStyle w:val="TableGrid"/>
        <w:tblW w:w="6365" w:type="dxa"/>
        <w:tblLook w:val="0000" w:firstRow="0" w:lastRow="0" w:firstColumn="0" w:lastColumn="0" w:noHBand="0" w:noVBand="0"/>
      </w:tblPr>
      <w:tblGrid>
        <w:gridCol w:w="1336"/>
        <w:gridCol w:w="1372"/>
        <w:gridCol w:w="873"/>
        <w:gridCol w:w="888"/>
        <w:gridCol w:w="888"/>
        <w:gridCol w:w="1008"/>
      </w:tblGrid>
      <w:tr w:rsidR="00BA7FEA" w:rsidRPr="003C0183" w14:paraId="1EF695EA" w14:textId="77777777" w:rsidTr="00767297">
        <w:trPr>
          <w:trHeight w:val="398"/>
        </w:trPr>
        <w:tc>
          <w:tcPr>
            <w:tcW w:w="1338" w:type="dxa"/>
          </w:tcPr>
          <w:p w14:paraId="1CB0E8DF" w14:textId="77777777" w:rsidR="00BA7FEA" w:rsidRPr="003C0183" w:rsidRDefault="00BA7FEA" w:rsidP="00683C41">
            <w:pPr>
              <w:pStyle w:val="Default"/>
              <w:rPr>
                <w:color w:val="auto"/>
              </w:rPr>
            </w:pPr>
          </w:p>
        </w:tc>
        <w:tc>
          <w:tcPr>
            <w:tcW w:w="1373" w:type="dxa"/>
          </w:tcPr>
          <w:p w14:paraId="49E28655" w14:textId="77777777" w:rsidR="00BA7FEA" w:rsidRPr="003C0183" w:rsidRDefault="00BA7FEA" w:rsidP="00683C41">
            <w:pPr>
              <w:pStyle w:val="Default"/>
              <w:rPr>
                <w:color w:val="auto"/>
              </w:rPr>
            </w:pPr>
          </w:p>
        </w:tc>
        <w:tc>
          <w:tcPr>
            <w:tcW w:w="873" w:type="dxa"/>
          </w:tcPr>
          <w:p w14:paraId="1248441F" w14:textId="77777777" w:rsidR="00BA7FEA" w:rsidRPr="003C0183" w:rsidRDefault="00BA7FEA" w:rsidP="00683C41">
            <w:pPr>
              <w:pStyle w:val="Default"/>
              <w:jc w:val="center"/>
              <w:rPr>
                <w:rFonts w:ascii="Arial" w:hAnsi="Arial" w:cs="Arial"/>
                <w:sz w:val="15"/>
                <w:szCs w:val="15"/>
              </w:rPr>
            </w:pPr>
            <w:r w:rsidRPr="003C0183">
              <w:rPr>
                <w:rFonts w:ascii="Arial" w:hAnsi="Arial" w:cs="Arial"/>
                <w:sz w:val="15"/>
                <w:szCs w:val="15"/>
              </w:rPr>
              <w:t xml:space="preserve">Value </w:t>
            </w:r>
          </w:p>
        </w:tc>
        <w:tc>
          <w:tcPr>
            <w:tcW w:w="888" w:type="dxa"/>
          </w:tcPr>
          <w:p w14:paraId="796A198C" w14:textId="772439B7" w:rsidR="00BA7FEA" w:rsidRPr="003C0183" w:rsidRDefault="00BA7FEA">
            <w:pPr>
              <w:pStyle w:val="Default"/>
              <w:rPr>
                <w:rFonts w:ascii="Arial" w:hAnsi="Arial" w:cs="Arial"/>
                <w:sz w:val="12"/>
                <w:szCs w:val="12"/>
              </w:rPr>
            </w:pPr>
            <w:r w:rsidRPr="003C0183">
              <w:rPr>
                <w:rFonts w:ascii="Arial" w:hAnsi="Arial" w:cs="Arial"/>
                <w:sz w:val="15"/>
                <w:szCs w:val="15"/>
              </w:rPr>
              <w:t xml:space="preserve">Asymp. </w:t>
            </w:r>
            <w:r w:rsidRPr="00767297">
              <w:rPr>
                <w:rFonts w:ascii="Arial" w:hAnsi="Arial" w:cs="Arial"/>
                <w:i/>
                <w:sz w:val="15"/>
                <w:szCs w:val="15"/>
              </w:rPr>
              <w:t>S</w:t>
            </w:r>
            <w:r w:rsidR="007E0685" w:rsidRPr="00767297">
              <w:rPr>
                <w:rFonts w:ascii="Arial" w:hAnsi="Arial" w:cs="Arial"/>
                <w:i/>
                <w:sz w:val="15"/>
                <w:szCs w:val="15"/>
              </w:rPr>
              <w:t>E</w:t>
            </w:r>
            <w:r w:rsidRPr="003C0183">
              <w:rPr>
                <w:rFonts w:ascii="Arial" w:hAnsi="Arial" w:cs="Arial"/>
                <w:sz w:val="15"/>
                <w:szCs w:val="15"/>
              </w:rPr>
              <w:t>r</w:t>
            </w:r>
            <w:r w:rsidRPr="00767297">
              <w:rPr>
                <w:rFonts w:ascii="Arial" w:hAnsi="Arial" w:cs="Arial"/>
                <w:sz w:val="12"/>
                <w:szCs w:val="12"/>
                <w:vertAlign w:val="superscript"/>
              </w:rPr>
              <w:t>a</w:t>
            </w:r>
            <w:r w:rsidRPr="003C0183">
              <w:rPr>
                <w:rFonts w:ascii="Arial" w:hAnsi="Arial" w:cs="Arial"/>
                <w:sz w:val="12"/>
                <w:szCs w:val="12"/>
              </w:rPr>
              <w:t xml:space="preserve"> </w:t>
            </w:r>
          </w:p>
        </w:tc>
        <w:tc>
          <w:tcPr>
            <w:tcW w:w="888" w:type="dxa"/>
          </w:tcPr>
          <w:p w14:paraId="76630A37" w14:textId="77777777" w:rsidR="00BA7FEA" w:rsidRPr="003C0183" w:rsidRDefault="00BA7FEA" w:rsidP="00683C41">
            <w:pPr>
              <w:pStyle w:val="Default"/>
              <w:rPr>
                <w:rFonts w:ascii="Arial" w:hAnsi="Arial" w:cs="Arial"/>
                <w:sz w:val="12"/>
                <w:szCs w:val="12"/>
              </w:rPr>
            </w:pPr>
            <w:r w:rsidRPr="003C0183">
              <w:rPr>
                <w:rFonts w:ascii="Arial" w:hAnsi="Arial" w:cs="Arial"/>
                <w:sz w:val="15"/>
                <w:szCs w:val="15"/>
              </w:rPr>
              <w:t xml:space="preserve">Approx. </w:t>
            </w:r>
            <w:r w:rsidRPr="00767297">
              <w:rPr>
                <w:rFonts w:ascii="Arial" w:hAnsi="Arial" w:cs="Arial"/>
                <w:i/>
                <w:sz w:val="15"/>
                <w:szCs w:val="15"/>
              </w:rPr>
              <w:t>T</w:t>
            </w:r>
            <w:r w:rsidRPr="00767297">
              <w:rPr>
                <w:rFonts w:ascii="Arial" w:hAnsi="Arial" w:cs="Arial"/>
                <w:sz w:val="12"/>
                <w:szCs w:val="12"/>
                <w:vertAlign w:val="superscript"/>
              </w:rPr>
              <w:t>b</w:t>
            </w:r>
            <w:r w:rsidRPr="003C0183">
              <w:rPr>
                <w:rFonts w:ascii="Arial" w:hAnsi="Arial" w:cs="Arial"/>
                <w:sz w:val="12"/>
                <w:szCs w:val="12"/>
              </w:rPr>
              <w:t xml:space="preserve"> </w:t>
            </w:r>
          </w:p>
        </w:tc>
        <w:tc>
          <w:tcPr>
            <w:tcW w:w="1008" w:type="dxa"/>
          </w:tcPr>
          <w:p w14:paraId="508BD1A5" w14:textId="77777777" w:rsidR="00BA7FEA" w:rsidRPr="003C0183" w:rsidRDefault="00BA7FEA" w:rsidP="00683C41">
            <w:pPr>
              <w:pStyle w:val="Default"/>
              <w:rPr>
                <w:rFonts w:ascii="Arial" w:hAnsi="Arial" w:cs="Arial"/>
                <w:sz w:val="15"/>
                <w:szCs w:val="15"/>
              </w:rPr>
            </w:pPr>
            <w:r w:rsidRPr="003C0183">
              <w:rPr>
                <w:rFonts w:ascii="Arial" w:hAnsi="Arial" w:cs="Arial"/>
                <w:sz w:val="15"/>
                <w:szCs w:val="15"/>
              </w:rPr>
              <w:t xml:space="preserve">Approx. Sig. </w:t>
            </w:r>
          </w:p>
        </w:tc>
      </w:tr>
      <w:tr w:rsidR="00BA7FEA" w:rsidRPr="003E4ADC" w14:paraId="4ABDF48D" w14:textId="77777777" w:rsidTr="00767297">
        <w:trPr>
          <w:trHeight w:val="650"/>
        </w:trPr>
        <w:tc>
          <w:tcPr>
            <w:tcW w:w="1338" w:type="dxa"/>
          </w:tcPr>
          <w:p w14:paraId="74E1E5DB" w14:textId="77777777" w:rsidR="00BA7FEA" w:rsidRPr="003E4ADC" w:rsidRDefault="00BA7FEA" w:rsidP="00683C41">
            <w:pPr>
              <w:pStyle w:val="Default"/>
              <w:rPr>
                <w:rFonts w:ascii="Arial" w:hAnsi="Arial" w:cs="Arial"/>
                <w:sz w:val="15"/>
                <w:szCs w:val="15"/>
              </w:rPr>
            </w:pPr>
            <w:r w:rsidRPr="003E4ADC">
              <w:rPr>
                <w:rFonts w:ascii="Arial" w:hAnsi="Arial" w:cs="Arial"/>
                <w:sz w:val="15"/>
                <w:szCs w:val="15"/>
              </w:rPr>
              <w:t xml:space="preserve">Ordinal by Ordinal N of Valid Cases </w:t>
            </w:r>
          </w:p>
        </w:tc>
        <w:tc>
          <w:tcPr>
            <w:tcW w:w="1373" w:type="dxa"/>
          </w:tcPr>
          <w:p w14:paraId="3A24D21B" w14:textId="43C72714" w:rsidR="003E4ADC" w:rsidRPr="003E4ADC" w:rsidRDefault="00BA7FEA" w:rsidP="00683C41">
            <w:pPr>
              <w:pStyle w:val="Default"/>
              <w:rPr>
                <w:rFonts w:ascii="Arial" w:hAnsi="Arial" w:cs="Arial"/>
                <w:sz w:val="15"/>
                <w:szCs w:val="15"/>
              </w:rPr>
            </w:pPr>
            <w:r w:rsidRPr="003E4ADC">
              <w:rPr>
                <w:rFonts w:ascii="Arial" w:hAnsi="Arial" w:cs="Arial"/>
                <w:sz w:val="15"/>
                <w:szCs w:val="15"/>
              </w:rPr>
              <w:t xml:space="preserve">Kendall's </w:t>
            </w:r>
            <w:r w:rsidR="008D138C" w:rsidRPr="003E4ADC">
              <w:rPr>
                <w:bCs/>
              </w:rPr>
              <w:t>τ</w:t>
            </w:r>
            <w:r w:rsidRPr="003E4ADC">
              <w:rPr>
                <w:rFonts w:ascii="Arial" w:hAnsi="Arial" w:cs="Arial"/>
                <w:sz w:val="15"/>
                <w:szCs w:val="15"/>
              </w:rPr>
              <w:t>-b</w:t>
            </w:r>
          </w:p>
          <w:p w14:paraId="193BF713" w14:textId="216DDA47" w:rsidR="00BA7FEA" w:rsidRPr="003E4ADC" w:rsidRDefault="00BA7FEA" w:rsidP="00683C41">
            <w:pPr>
              <w:pStyle w:val="Default"/>
              <w:rPr>
                <w:rFonts w:ascii="Arial" w:hAnsi="Arial" w:cs="Arial"/>
                <w:sz w:val="15"/>
                <w:szCs w:val="15"/>
              </w:rPr>
            </w:pPr>
            <w:r w:rsidRPr="003E4ADC">
              <w:rPr>
                <w:rFonts w:ascii="Arial" w:hAnsi="Arial" w:cs="Arial"/>
                <w:sz w:val="15"/>
                <w:szCs w:val="15"/>
              </w:rPr>
              <w:t xml:space="preserve">Kendall's </w:t>
            </w:r>
            <w:r w:rsidR="008D138C" w:rsidRPr="003E4ADC">
              <w:rPr>
                <w:bCs/>
              </w:rPr>
              <w:t>τ</w:t>
            </w:r>
            <w:r w:rsidRPr="003E4ADC">
              <w:rPr>
                <w:rFonts w:ascii="Arial" w:hAnsi="Arial" w:cs="Arial"/>
                <w:sz w:val="15"/>
                <w:szCs w:val="15"/>
              </w:rPr>
              <w:t xml:space="preserve">-c </w:t>
            </w:r>
          </w:p>
        </w:tc>
        <w:tc>
          <w:tcPr>
            <w:tcW w:w="873" w:type="dxa"/>
          </w:tcPr>
          <w:p w14:paraId="2C8258C3" w14:textId="77777777" w:rsidR="00F0393C" w:rsidRPr="003E4ADC" w:rsidRDefault="00BA7FEA" w:rsidP="00683C41">
            <w:pPr>
              <w:pStyle w:val="Default"/>
              <w:jc w:val="center"/>
              <w:rPr>
                <w:rFonts w:ascii="Arial" w:hAnsi="Arial" w:cs="Arial"/>
                <w:sz w:val="15"/>
                <w:szCs w:val="15"/>
              </w:rPr>
            </w:pPr>
            <w:r w:rsidRPr="003E4ADC">
              <w:rPr>
                <w:rFonts w:ascii="Arial" w:hAnsi="Arial" w:cs="Arial"/>
                <w:sz w:val="15"/>
                <w:szCs w:val="15"/>
              </w:rPr>
              <w:t>.195</w:t>
            </w:r>
          </w:p>
          <w:p w14:paraId="1F9407E9" w14:textId="0E5B9483" w:rsidR="00F0393C" w:rsidRPr="003E4ADC" w:rsidRDefault="00BA7FEA" w:rsidP="00683C41">
            <w:pPr>
              <w:pStyle w:val="Default"/>
              <w:jc w:val="center"/>
              <w:rPr>
                <w:rFonts w:ascii="Arial" w:hAnsi="Arial" w:cs="Arial"/>
                <w:sz w:val="15"/>
                <w:szCs w:val="15"/>
              </w:rPr>
            </w:pPr>
            <w:r w:rsidRPr="003E4ADC">
              <w:rPr>
                <w:rFonts w:ascii="Arial" w:hAnsi="Arial" w:cs="Arial"/>
                <w:sz w:val="15"/>
                <w:szCs w:val="15"/>
              </w:rPr>
              <w:t>.118</w:t>
            </w:r>
          </w:p>
          <w:p w14:paraId="0D002BAC" w14:textId="6A5D1A56" w:rsidR="00BA7FEA" w:rsidRPr="003E4ADC" w:rsidRDefault="00BA7FEA" w:rsidP="00683C41">
            <w:pPr>
              <w:pStyle w:val="Default"/>
              <w:jc w:val="center"/>
              <w:rPr>
                <w:rFonts w:ascii="Arial" w:hAnsi="Arial" w:cs="Arial"/>
                <w:sz w:val="15"/>
                <w:szCs w:val="15"/>
              </w:rPr>
            </w:pPr>
            <w:r w:rsidRPr="003E4ADC">
              <w:rPr>
                <w:rFonts w:ascii="Arial" w:hAnsi="Arial" w:cs="Arial"/>
                <w:sz w:val="15"/>
                <w:szCs w:val="15"/>
              </w:rPr>
              <w:t xml:space="preserve">992 </w:t>
            </w:r>
          </w:p>
        </w:tc>
        <w:tc>
          <w:tcPr>
            <w:tcW w:w="888" w:type="dxa"/>
          </w:tcPr>
          <w:p w14:paraId="78583C42" w14:textId="10C850A7" w:rsidR="003C0183" w:rsidRPr="003E4ADC" w:rsidRDefault="00BA7FEA" w:rsidP="003C0183">
            <w:pPr>
              <w:pStyle w:val="Default"/>
              <w:rPr>
                <w:rFonts w:ascii="Arial" w:hAnsi="Arial" w:cs="Arial"/>
                <w:sz w:val="15"/>
                <w:szCs w:val="15"/>
              </w:rPr>
            </w:pPr>
            <w:r w:rsidRPr="003E4ADC">
              <w:rPr>
                <w:rFonts w:ascii="Arial" w:hAnsi="Arial" w:cs="Arial"/>
                <w:sz w:val="15"/>
                <w:szCs w:val="15"/>
              </w:rPr>
              <w:t>.033</w:t>
            </w:r>
          </w:p>
          <w:p w14:paraId="5A981789" w14:textId="6C0CAC5B" w:rsidR="00BA7FEA" w:rsidRPr="003E4ADC" w:rsidRDefault="00BA7FEA" w:rsidP="003C0183">
            <w:pPr>
              <w:pStyle w:val="Default"/>
              <w:rPr>
                <w:rFonts w:ascii="Arial" w:hAnsi="Arial" w:cs="Arial"/>
                <w:sz w:val="15"/>
                <w:szCs w:val="15"/>
              </w:rPr>
            </w:pPr>
            <w:r w:rsidRPr="003E4ADC">
              <w:rPr>
                <w:rFonts w:ascii="Arial" w:hAnsi="Arial" w:cs="Arial"/>
                <w:sz w:val="15"/>
                <w:szCs w:val="15"/>
              </w:rPr>
              <w:t xml:space="preserve">.021 </w:t>
            </w:r>
          </w:p>
        </w:tc>
        <w:tc>
          <w:tcPr>
            <w:tcW w:w="888" w:type="dxa"/>
          </w:tcPr>
          <w:p w14:paraId="4DEFA815" w14:textId="6FCAD05C" w:rsidR="003C0183" w:rsidRPr="003E4ADC" w:rsidRDefault="00BA7FEA" w:rsidP="003C0183">
            <w:pPr>
              <w:pStyle w:val="Default"/>
              <w:rPr>
                <w:rFonts w:ascii="Arial" w:hAnsi="Arial" w:cs="Arial"/>
                <w:sz w:val="15"/>
                <w:szCs w:val="15"/>
              </w:rPr>
            </w:pPr>
            <w:r w:rsidRPr="003E4ADC">
              <w:rPr>
                <w:rFonts w:ascii="Arial" w:hAnsi="Arial" w:cs="Arial"/>
                <w:sz w:val="15"/>
                <w:szCs w:val="15"/>
              </w:rPr>
              <w:t>5.736</w:t>
            </w:r>
          </w:p>
          <w:p w14:paraId="17CBC980" w14:textId="7E100464" w:rsidR="00BA7FEA" w:rsidRPr="003E4ADC" w:rsidRDefault="00BA7FEA" w:rsidP="003C0183">
            <w:pPr>
              <w:pStyle w:val="Default"/>
              <w:rPr>
                <w:rFonts w:ascii="Arial" w:hAnsi="Arial" w:cs="Arial"/>
                <w:sz w:val="15"/>
                <w:szCs w:val="15"/>
              </w:rPr>
            </w:pPr>
            <w:r w:rsidRPr="003E4ADC">
              <w:rPr>
                <w:rFonts w:ascii="Arial" w:hAnsi="Arial" w:cs="Arial"/>
                <w:sz w:val="15"/>
                <w:szCs w:val="15"/>
              </w:rPr>
              <w:t xml:space="preserve">5.736 </w:t>
            </w:r>
          </w:p>
        </w:tc>
        <w:tc>
          <w:tcPr>
            <w:tcW w:w="1008" w:type="dxa"/>
          </w:tcPr>
          <w:p w14:paraId="1EDFAF13" w14:textId="52A85461" w:rsidR="003C0183" w:rsidRPr="003E4ADC" w:rsidRDefault="00BA7FEA" w:rsidP="003C0183">
            <w:pPr>
              <w:pStyle w:val="Default"/>
              <w:rPr>
                <w:rFonts w:ascii="Arial" w:hAnsi="Arial" w:cs="Arial"/>
                <w:sz w:val="15"/>
                <w:szCs w:val="15"/>
              </w:rPr>
            </w:pPr>
            <w:r w:rsidRPr="003E4ADC">
              <w:rPr>
                <w:rFonts w:ascii="Arial" w:hAnsi="Arial" w:cs="Arial"/>
                <w:sz w:val="15"/>
                <w:szCs w:val="15"/>
              </w:rPr>
              <w:t>.000</w:t>
            </w:r>
          </w:p>
          <w:p w14:paraId="7FFDE819" w14:textId="064C290C" w:rsidR="00BA7FEA" w:rsidRPr="003E4ADC" w:rsidRDefault="00BA7FEA" w:rsidP="003C0183">
            <w:pPr>
              <w:pStyle w:val="Default"/>
              <w:rPr>
                <w:rFonts w:ascii="Arial" w:hAnsi="Arial" w:cs="Arial"/>
                <w:sz w:val="15"/>
                <w:szCs w:val="15"/>
              </w:rPr>
            </w:pPr>
            <w:r w:rsidRPr="003E4ADC">
              <w:rPr>
                <w:rFonts w:ascii="Arial" w:hAnsi="Arial" w:cs="Arial"/>
                <w:sz w:val="15"/>
                <w:szCs w:val="15"/>
              </w:rPr>
              <w:t xml:space="preserve">.000 </w:t>
            </w:r>
          </w:p>
        </w:tc>
      </w:tr>
    </w:tbl>
    <w:p w14:paraId="7C1FA164" w14:textId="1EB9E9ED" w:rsidR="00BA7FEA" w:rsidRPr="003C0183" w:rsidRDefault="00BA7FEA" w:rsidP="00767297">
      <w:pPr>
        <w:pStyle w:val="Default"/>
        <w:rPr>
          <w:color w:val="auto"/>
        </w:rPr>
      </w:pPr>
      <w:r w:rsidRPr="00767297">
        <w:rPr>
          <w:color w:val="auto"/>
          <w:vertAlign w:val="superscript"/>
        </w:rPr>
        <w:t>a</w:t>
      </w:r>
      <w:r w:rsidRPr="003C0183">
        <w:rPr>
          <w:color w:val="auto"/>
        </w:rPr>
        <w:t xml:space="preserve">Not assuming the null hypothesis. </w:t>
      </w:r>
    </w:p>
    <w:p w14:paraId="647F7F39" w14:textId="5D4FF706" w:rsidR="00BA7FEA" w:rsidRDefault="00BA7FEA" w:rsidP="00767297">
      <w:pPr>
        <w:pStyle w:val="Default"/>
        <w:rPr>
          <w:color w:val="auto"/>
        </w:rPr>
      </w:pPr>
      <w:r w:rsidRPr="00767297">
        <w:rPr>
          <w:color w:val="auto"/>
          <w:vertAlign w:val="superscript"/>
        </w:rPr>
        <w:t>b</w:t>
      </w:r>
      <w:r w:rsidRPr="003C0183">
        <w:rPr>
          <w:color w:val="auto"/>
        </w:rPr>
        <w:t>Using</w:t>
      </w:r>
      <w:r>
        <w:rPr>
          <w:color w:val="auto"/>
        </w:rPr>
        <w:t xml:space="preserve"> the asymptotic standard error assuming the null hypothesis. </w:t>
      </w:r>
    </w:p>
    <w:p w14:paraId="0A409E54" w14:textId="77777777" w:rsidR="00BA7FEA" w:rsidRDefault="00BA7FEA" w:rsidP="00BA7FEA">
      <w:pPr>
        <w:pStyle w:val="Default"/>
        <w:rPr>
          <w:color w:val="auto"/>
        </w:rPr>
      </w:pPr>
    </w:p>
    <w:p w14:paraId="6C06B037" w14:textId="77777777" w:rsidR="00BA7FEA" w:rsidRDefault="00BA7FEA" w:rsidP="00BA7FEA">
      <w:pPr>
        <w:pStyle w:val="CM73"/>
        <w:spacing w:line="276" w:lineRule="atLeast"/>
        <w:ind w:right="178"/>
      </w:pPr>
      <w:r>
        <w:rPr>
          <w:b/>
          <w:bCs/>
        </w:rPr>
        <w:t xml:space="preserve">3. Three interviewers are evaluating five job candidates. After interviews and analysis of qualifications and skills, the interviewers are asked to rank the five job candidates. The rankings shown in Table W11.1 are obtained (1 = high, 5 = low).Which job candidate has the highest level of approval? Do the raters agree? How do your results </w:t>
      </w:r>
      <w:r>
        <w:rPr>
          <w:b/>
          <w:bCs/>
        </w:rPr>
        <w:lastRenderedPageBreak/>
        <w:t xml:space="preserve">change when a fourth evaluator is added with rankings identical to those of the first evaluator? </w:t>
      </w:r>
    </w:p>
    <w:p w14:paraId="57A3148E" w14:textId="0F2646B3" w:rsidR="00BA7FEA" w:rsidRDefault="00F23EF1" w:rsidP="00BA7FEA">
      <w:pPr>
        <w:pStyle w:val="CM73"/>
        <w:spacing w:line="276" w:lineRule="atLeast"/>
      </w:pPr>
      <w:r>
        <w:t xml:space="preserve">Ans: </w:t>
      </w:r>
      <w:r w:rsidR="00BA7FEA">
        <w:t xml:space="preserve">The respective mean scores of the job candidates are 3.00, 1.67, 2.67, 2.67, and 5.00. Thus, </w:t>
      </w:r>
      <w:r w:rsidR="008A6EDB">
        <w:t>J</w:t>
      </w:r>
      <w:r w:rsidR="00BA7FEA">
        <w:t xml:space="preserve">ob </w:t>
      </w:r>
      <w:r w:rsidR="008A6EDB">
        <w:t>C</w:t>
      </w:r>
      <w:r w:rsidR="00BA7FEA">
        <w:t xml:space="preserve">andidate 2 has the most favorable score. Interestingly, with just three interviewers, these differences are not statistically significant (Friedman test score = 7.2, </w:t>
      </w:r>
      <w:r w:rsidR="00BA7FEA" w:rsidRPr="00767297">
        <w:rPr>
          <w:i/>
        </w:rPr>
        <w:t>p</w:t>
      </w:r>
      <w:r w:rsidR="00BA7FEA">
        <w:t xml:space="preserve"> = .126). By inversing the rows and columns, we test whether testers agree and find that the Friedman test statistic is .40 (</w:t>
      </w:r>
      <w:r w:rsidR="00BA7FEA" w:rsidRPr="00767297">
        <w:rPr>
          <w:i/>
        </w:rPr>
        <w:t>p</w:t>
      </w:r>
      <w:r w:rsidR="00BA7FEA">
        <w:t xml:space="preserve"> = .819); hence, they do not disagree (the raters agree). </w:t>
      </w:r>
    </w:p>
    <w:p w14:paraId="26587F0D" w14:textId="77777777" w:rsidR="00BA7FEA" w:rsidRDefault="00BA7FEA" w:rsidP="00BA7FEA">
      <w:pPr>
        <w:pStyle w:val="CM73"/>
        <w:spacing w:line="276" w:lineRule="atLeast"/>
        <w:ind w:right="105"/>
      </w:pPr>
      <w:r>
        <w:t xml:space="preserve">When a fourth rater is added, the differences between job candidates are statistically significant (Friedman test score = 8.4, </w:t>
      </w:r>
      <w:r w:rsidRPr="00767297">
        <w:rPr>
          <w:i/>
        </w:rPr>
        <w:t>p</w:t>
      </w:r>
      <w:r>
        <w:t xml:space="preserve"> = .034). After the columns and rows are inversed, raters still agree (</w:t>
      </w:r>
      <w:r w:rsidRPr="00767297">
        <w:rPr>
          <w:i/>
        </w:rPr>
        <w:t>p</w:t>
      </w:r>
      <w:r>
        <w:t xml:space="preserve"> = .856). </w:t>
      </w:r>
    </w:p>
    <w:p w14:paraId="2C0EEC0B" w14:textId="37EF80F7" w:rsidR="00BA7FEA" w:rsidRDefault="00BA7FEA" w:rsidP="00BA7FEA">
      <w:pPr>
        <w:pStyle w:val="CM73"/>
        <w:spacing w:line="276" w:lineRule="atLeast"/>
        <w:ind w:right="105"/>
      </w:pPr>
      <w:r>
        <w:rPr>
          <w:b/>
          <w:bCs/>
        </w:rPr>
        <w:t xml:space="preserve">4. A manager wants to know </w:t>
      </w:r>
      <w:r w:rsidRPr="008A6EDB">
        <w:rPr>
          <w:b/>
          <w:bCs/>
        </w:rPr>
        <w:t xml:space="preserve">whether </w:t>
      </w:r>
      <w:r w:rsidR="00F23EF1" w:rsidRPr="008A6EDB">
        <w:rPr>
          <w:b/>
          <w:bCs/>
        </w:rPr>
        <w:t xml:space="preserve">Whites </w:t>
      </w:r>
      <w:r w:rsidRPr="008A6EDB">
        <w:rPr>
          <w:b/>
          <w:bCs/>
        </w:rPr>
        <w:t xml:space="preserve">and minorities are receiving similar or disparate answers to their inquiries. To this end, 15 pairs of testers are sent with identical questions. Testers report to the study supervisor the answers as received, which are then evaluated as satisfactory </w:t>
      </w:r>
      <w:r>
        <w:rPr>
          <w:b/>
          <w:bCs/>
        </w:rPr>
        <w:t xml:space="preserve">or unsatisfactory. The result shown in Table W11.2 is obtained. Do </w:t>
      </w:r>
      <w:r w:rsidR="00F23EF1">
        <w:rPr>
          <w:b/>
          <w:bCs/>
        </w:rPr>
        <w:t xml:space="preserve">Whites </w:t>
      </w:r>
      <w:r>
        <w:rPr>
          <w:b/>
          <w:bCs/>
        </w:rPr>
        <w:t xml:space="preserve">and minorities receive different treatment? </w:t>
      </w:r>
    </w:p>
    <w:p w14:paraId="53821F10" w14:textId="77777777" w:rsidR="00BA7FEA" w:rsidRDefault="00F23EF1" w:rsidP="00BA7FEA">
      <w:pPr>
        <w:pStyle w:val="CM9"/>
        <w:ind w:right="360"/>
      </w:pPr>
      <w:r>
        <w:t xml:space="preserve">Ans: </w:t>
      </w:r>
      <w:r w:rsidR="00BA7FEA">
        <w:t xml:space="preserve">The McNemar test has a level of significance of .625, which indicates that outcomes are not significantly different. Only the four dissimilar pairs are considered. The variables need to be recreated in the following manner to produce this test: (0 = unsatisfactory, 1 = satisfactory). </w:t>
      </w:r>
    </w:p>
    <w:tbl>
      <w:tblPr>
        <w:tblStyle w:val="TableGrid"/>
        <w:tblW w:w="3075" w:type="dxa"/>
        <w:tblLook w:val="0000" w:firstRow="0" w:lastRow="0" w:firstColumn="0" w:lastColumn="0" w:noHBand="0" w:noVBand="0"/>
      </w:tblPr>
      <w:tblGrid>
        <w:gridCol w:w="1572"/>
        <w:gridCol w:w="1503"/>
      </w:tblGrid>
      <w:tr w:rsidR="00BA7FEA" w14:paraId="1D6148EC" w14:textId="77777777" w:rsidTr="00767297">
        <w:trPr>
          <w:trHeight w:val="298"/>
        </w:trPr>
        <w:tc>
          <w:tcPr>
            <w:tcW w:w="1573" w:type="dxa"/>
          </w:tcPr>
          <w:p w14:paraId="41EE8413" w14:textId="77777777" w:rsidR="00BA7FEA" w:rsidRPr="00875C8B" w:rsidRDefault="00BA7FEA" w:rsidP="00683C41">
            <w:pPr>
              <w:pStyle w:val="Default"/>
              <w:jc w:val="center"/>
            </w:pPr>
            <w:r w:rsidRPr="00767297">
              <w:rPr>
                <w:bCs/>
              </w:rPr>
              <w:t xml:space="preserve">White </w:t>
            </w:r>
          </w:p>
        </w:tc>
        <w:tc>
          <w:tcPr>
            <w:tcW w:w="1503" w:type="dxa"/>
          </w:tcPr>
          <w:p w14:paraId="764DAFE1" w14:textId="77777777" w:rsidR="00BA7FEA" w:rsidRPr="00875C8B" w:rsidRDefault="00BA7FEA" w:rsidP="00683C41">
            <w:pPr>
              <w:pStyle w:val="Default"/>
              <w:jc w:val="center"/>
            </w:pPr>
            <w:r w:rsidRPr="00767297">
              <w:rPr>
                <w:bCs/>
              </w:rPr>
              <w:t xml:space="preserve">Minority </w:t>
            </w:r>
          </w:p>
        </w:tc>
      </w:tr>
      <w:tr w:rsidR="00BA7FEA" w14:paraId="233684D6" w14:textId="77777777" w:rsidTr="00767297">
        <w:trPr>
          <w:trHeight w:val="285"/>
        </w:trPr>
        <w:tc>
          <w:tcPr>
            <w:tcW w:w="1573" w:type="dxa"/>
          </w:tcPr>
          <w:p w14:paraId="383734B7" w14:textId="77777777" w:rsidR="00BA7FEA" w:rsidRDefault="00BA7FEA" w:rsidP="00683C41">
            <w:pPr>
              <w:pStyle w:val="Default"/>
              <w:jc w:val="center"/>
            </w:pPr>
            <w:r>
              <w:t xml:space="preserve">1 </w:t>
            </w:r>
          </w:p>
        </w:tc>
        <w:tc>
          <w:tcPr>
            <w:tcW w:w="1503" w:type="dxa"/>
          </w:tcPr>
          <w:p w14:paraId="38EE260D" w14:textId="77777777" w:rsidR="00BA7FEA" w:rsidRDefault="00BA7FEA" w:rsidP="00683C41">
            <w:pPr>
              <w:pStyle w:val="Default"/>
              <w:jc w:val="center"/>
            </w:pPr>
            <w:r>
              <w:t xml:space="preserve">1 </w:t>
            </w:r>
          </w:p>
        </w:tc>
      </w:tr>
      <w:tr w:rsidR="00BA7FEA" w14:paraId="173BE5B0" w14:textId="77777777" w:rsidTr="00767297">
        <w:trPr>
          <w:trHeight w:val="285"/>
        </w:trPr>
        <w:tc>
          <w:tcPr>
            <w:tcW w:w="1573" w:type="dxa"/>
          </w:tcPr>
          <w:p w14:paraId="7D92BD7C" w14:textId="77777777" w:rsidR="00BA7FEA" w:rsidRDefault="00BA7FEA" w:rsidP="00683C41">
            <w:pPr>
              <w:pStyle w:val="Default"/>
              <w:jc w:val="center"/>
            </w:pPr>
            <w:r>
              <w:t xml:space="preserve">1 </w:t>
            </w:r>
          </w:p>
        </w:tc>
        <w:tc>
          <w:tcPr>
            <w:tcW w:w="1503" w:type="dxa"/>
          </w:tcPr>
          <w:p w14:paraId="017C43A6" w14:textId="77777777" w:rsidR="00BA7FEA" w:rsidRDefault="00BA7FEA" w:rsidP="00683C41">
            <w:pPr>
              <w:pStyle w:val="Default"/>
              <w:jc w:val="center"/>
            </w:pPr>
            <w:r>
              <w:t xml:space="preserve">1 </w:t>
            </w:r>
          </w:p>
        </w:tc>
      </w:tr>
      <w:tr w:rsidR="00BA7FEA" w14:paraId="1E10FFFB" w14:textId="77777777" w:rsidTr="00767297">
        <w:trPr>
          <w:trHeight w:val="285"/>
        </w:trPr>
        <w:tc>
          <w:tcPr>
            <w:tcW w:w="1573" w:type="dxa"/>
          </w:tcPr>
          <w:p w14:paraId="6FE7551F" w14:textId="77777777" w:rsidR="00BA7FEA" w:rsidRDefault="00BA7FEA" w:rsidP="00683C41">
            <w:pPr>
              <w:pStyle w:val="Default"/>
              <w:jc w:val="center"/>
            </w:pPr>
            <w:r>
              <w:t xml:space="preserve">1 </w:t>
            </w:r>
          </w:p>
        </w:tc>
        <w:tc>
          <w:tcPr>
            <w:tcW w:w="1503" w:type="dxa"/>
          </w:tcPr>
          <w:p w14:paraId="18B976D8" w14:textId="77777777" w:rsidR="00BA7FEA" w:rsidRDefault="00BA7FEA" w:rsidP="00683C41">
            <w:pPr>
              <w:pStyle w:val="Default"/>
              <w:jc w:val="center"/>
            </w:pPr>
            <w:r>
              <w:t xml:space="preserve">1 </w:t>
            </w:r>
          </w:p>
        </w:tc>
      </w:tr>
      <w:tr w:rsidR="00BA7FEA" w14:paraId="063806B9" w14:textId="77777777" w:rsidTr="00767297">
        <w:trPr>
          <w:trHeight w:val="288"/>
        </w:trPr>
        <w:tc>
          <w:tcPr>
            <w:tcW w:w="1573" w:type="dxa"/>
          </w:tcPr>
          <w:p w14:paraId="0D390CEA" w14:textId="77777777" w:rsidR="00BA7FEA" w:rsidRDefault="00BA7FEA" w:rsidP="00683C41">
            <w:pPr>
              <w:pStyle w:val="Default"/>
              <w:jc w:val="center"/>
            </w:pPr>
            <w:r>
              <w:t xml:space="preserve">1 </w:t>
            </w:r>
          </w:p>
        </w:tc>
        <w:tc>
          <w:tcPr>
            <w:tcW w:w="1503" w:type="dxa"/>
          </w:tcPr>
          <w:p w14:paraId="60B1207B" w14:textId="77777777" w:rsidR="00BA7FEA" w:rsidRDefault="00BA7FEA" w:rsidP="00683C41">
            <w:pPr>
              <w:pStyle w:val="Default"/>
              <w:jc w:val="center"/>
            </w:pPr>
            <w:r>
              <w:t xml:space="preserve">1 </w:t>
            </w:r>
          </w:p>
        </w:tc>
      </w:tr>
      <w:tr w:rsidR="00BA7FEA" w14:paraId="4281B7EF" w14:textId="77777777" w:rsidTr="00767297">
        <w:trPr>
          <w:trHeight w:val="285"/>
        </w:trPr>
        <w:tc>
          <w:tcPr>
            <w:tcW w:w="1573" w:type="dxa"/>
          </w:tcPr>
          <w:p w14:paraId="2E669A3C" w14:textId="77777777" w:rsidR="00BA7FEA" w:rsidRDefault="00BA7FEA" w:rsidP="00683C41">
            <w:pPr>
              <w:pStyle w:val="Default"/>
              <w:jc w:val="center"/>
            </w:pPr>
            <w:r>
              <w:t xml:space="preserve">1 </w:t>
            </w:r>
          </w:p>
        </w:tc>
        <w:tc>
          <w:tcPr>
            <w:tcW w:w="1503" w:type="dxa"/>
          </w:tcPr>
          <w:p w14:paraId="3137BE06" w14:textId="77777777" w:rsidR="00BA7FEA" w:rsidRDefault="00BA7FEA" w:rsidP="00683C41">
            <w:pPr>
              <w:pStyle w:val="Default"/>
              <w:jc w:val="center"/>
            </w:pPr>
            <w:r>
              <w:t xml:space="preserve">1 </w:t>
            </w:r>
          </w:p>
        </w:tc>
      </w:tr>
      <w:tr w:rsidR="00BA7FEA" w14:paraId="0B7E1B95" w14:textId="77777777" w:rsidTr="00767297">
        <w:trPr>
          <w:trHeight w:val="285"/>
        </w:trPr>
        <w:tc>
          <w:tcPr>
            <w:tcW w:w="1573" w:type="dxa"/>
          </w:tcPr>
          <w:p w14:paraId="057A17CE" w14:textId="77777777" w:rsidR="00BA7FEA" w:rsidRDefault="00BA7FEA" w:rsidP="00683C41">
            <w:pPr>
              <w:pStyle w:val="Default"/>
              <w:jc w:val="center"/>
            </w:pPr>
            <w:r>
              <w:t xml:space="preserve">1 </w:t>
            </w:r>
          </w:p>
        </w:tc>
        <w:tc>
          <w:tcPr>
            <w:tcW w:w="1503" w:type="dxa"/>
          </w:tcPr>
          <w:p w14:paraId="37EFF45B" w14:textId="77777777" w:rsidR="00BA7FEA" w:rsidRDefault="00BA7FEA" w:rsidP="00683C41">
            <w:pPr>
              <w:pStyle w:val="Default"/>
              <w:jc w:val="center"/>
            </w:pPr>
            <w:r>
              <w:t xml:space="preserve">1 </w:t>
            </w:r>
          </w:p>
        </w:tc>
      </w:tr>
      <w:tr w:rsidR="00BA7FEA" w14:paraId="14BF51D9" w14:textId="77777777" w:rsidTr="00767297">
        <w:trPr>
          <w:trHeight w:val="285"/>
        </w:trPr>
        <w:tc>
          <w:tcPr>
            <w:tcW w:w="1573" w:type="dxa"/>
          </w:tcPr>
          <w:p w14:paraId="7FF4D268" w14:textId="77777777" w:rsidR="00BA7FEA" w:rsidRDefault="00BA7FEA" w:rsidP="00683C41">
            <w:pPr>
              <w:pStyle w:val="Default"/>
              <w:jc w:val="center"/>
            </w:pPr>
            <w:r>
              <w:t xml:space="preserve">1 </w:t>
            </w:r>
          </w:p>
        </w:tc>
        <w:tc>
          <w:tcPr>
            <w:tcW w:w="1503" w:type="dxa"/>
          </w:tcPr>
          <w:p w14:paraId="6E38D138" w14:textId="77777777" w:rsidR="00BA7FEA" w:rsidRDefault="00BA7FEA" w:rsidP="00683C41">
            <w:pPr>
              <w:pStyle w:val="Default"/>
              <w:jc w:val="center"/>
            </w:pPr>
            <w:r>
              <w:t xml:space="preserve">1 </w:t>
            </w:r>
          </w:p>
        </w:tc>
      </w:tr>
      <w:tr w:rsidR="00BA7FEA" w14:paraId="777ADE08" w14:textId="77777777" w:rsidTr="00767297">
        <w:trPr>
          <w:trHeight w:val="285"/>
        </w:trPr>
        <w:tc>
          <w:tcPr>
            <w:tcW w:w="1573" w:type="dxa"/>
          </w:tcPr>
          <w:p w14:paraId="0AB3B918" w14:textId="77777777" w:rsidR="00BA7FEA" w:rsidRDefault="00BA7FEA" w:rsidP="00683C41">
            <w:pPr>
              <w:pStyle w:val="Default"/>
              <w:jc w:val="center"/>
            </w:pPr>
            <w:r>
              <w:t xml:space="preserve">1 </w:t>
            </w:r>
          </w:p>
        </w:tc>
        <w:tc>
          <w:tcPr>
            <w:tcW w:w="1503" w:type="dxa"/>
          </w:tcPr>
          <w:p w14:paraId="2BD0773B" w14:textId="77777777" w:rsidR="00BA7FEA" w:rsidRDefault="00BA7FEA" w:rsidP="00683C41">
            <w:pPr>
              <w:pStyle w:val="Default"/>
              <w:jc w:val="center"/>
            </w:pPr>
            <w:r>
              <w:t xml:space="preserve">1 </w:t>
            </w:r>
          </w:p>
        </w:tc>
      </w:tr>
      <w:tr w:rsidR="00BA7FEA" w14:paraId="47390271" w14:textId="77777777" w:rsidTr="00767297">
        <w:trPr>
          <w:trHeight w:val="285"/>
        </w:trPr>
        <w:tc>
          <w:tcPr>
            <w:tcW w:w="1573" w:type="dxa"/>
          </w:tcPr>
          <w:p w14:paraId="3FA4E3AC" w14:textId="77777777" w:rsidR="00BA7FEA" w:rsidRDefault="00BA7FEA" w:rsidP="00683C41">
            <w:pPr>
              <w:pStyle w:val="Default"/>
              <w:jc w:val="center"/>
            </w:pPr>
            <w:r>
              <w:t xml:space="preserve">1 </w:t>
            </w:r>
          </w:p>
        </w:tc>
        <w:tc>
          <w:tcPr>
            <w:tcW w:w="1503" w:type="dxa"/>
          </w:tcPr>
          <w:p w14:paraId="33BF269C" w14:textId="77777777" w:rsidR="00BA7FEA" w:rsidRDefault="00BA7FEA" w:rsidP="00683C41">
            <w:pPr>
              <w:pStyle w:val="Default"/>
              <w:jc w:val="center"/>
            </w:pPr>
            <w:r>
              <w:t xml:space="preserve">0 </w:t>
            </w:r>
          </w:p>
        </w:tc>
      </w:tr>
      <w:tr w:rsidR="00BA7FEA" w14:paraId="65C45DBC" w14:textId="77777777" w:rsidTr="00767297">
        <w:trPr>
          <w:trHeight w:val="285"/>
        </w:trPr>
        <w:tc>
          <w:tcPr>
            <w:tcW w:w="1573" w:type="dxa"/>
          </w:tcPr>
          <w:p w14:paraId="711F85BC" w14:textId="77777777" w:rsidR="00BA7FEA" w:rsidRDefault="00BA7FEA" w:rsidP="00683C41">
            <w:pPr>
              <w:pStyle w:val="Default"/>
              <w:jc w:val="center"/>
            </w:pPr>
            <w:r>
              <w:t xml:space="preserve">1 </w:t>
            </w:r>
          </w:p>
        </w:tc>
        <w:tc>
          <w:tcPr>
            <w:tcW w:w="1503" w:type="dxa"/>
          </w:tcPr>
          <w:p w14:paraId="615A7195" w14:textId="77777777" w:rsidR="00BA7FEA" w:rsidRDefault="00BA7FEA" w:rsidP="00683C41">
            <w:pPr>
              <w:pStyle w:val="Default"/>
              <w:jc w:val="center"/>
            </w:pPr>
            <w:r>
              <w:t xml:space="preserve">0 </w:t>
            </w:r>
          </w:p>
        </w:tc>
      </w:tr>
      <w:tr w:rsidR="00BA7FEA" w14:paraId="55CD8087" w14:textId="77777777" w:rsidTr="00767297">
        <w:trPr>
          <w:trHeight w:val="288"/>
        </w:trPr>
        <w:tc>
          <w:tcPr>
            <w:tcW w:w="1573" w:type="dxa"/>
          </w:tcPr>
          <w:p w14:paraId="394CD1C2" w14:textId="77777777" w:rsidR="00BA7FEA" w:rsidRDefault="00BA7FEA" w:rsidP="00683C41">
            <w:pPr>
              <w:pStyle w:val="Default"/>
              <w:jc w:val="center"/>
            </w:pPr>
            <w:r>
              <w:t xml:space="preserve">1 </w:t>
            </w:r>
          </w:p>
        </w:tc>
        <w:tc>
          <w:tcPr>
            <w:tcW w:w="1503" w:type="dxa"/>
          </w:tcPr>
          <w:p w14:paraId="5317DEDC" w14:textId="77777777" w:rsidR="00BA7FEA" w:rsidRDefault="00BA7FEA" w:rsidP="00683C41">
            <w:pPr>
              <w:pStyle w:val="Default"/>
              <w:jc w:val="center"/>
            </w:pPr>
            <w:r>
              <w:t xml:space="preserve">0 </w:t>
            </w:r>
          </w:p>
        </w:tc>
      </w:tr>
      <w:tr w:rsidR="00BA7FEA" w14:paraId="645A9221" w14:textId="77777777" w:rsidTr="00767297">
        <w:trPr>
          <w:trHeight w:val="285"/>
        </w:trPr>
        <w:tc>
          <w:tcPr>
            <w:tcW w:w="1573" w:type="dxa"/>
          </w:tcPr>
          <w:p w14:paraId="47C89661" w14:textId="77777777" w:rsidR="00BA7FEA" w:rsidRDefault="00BA7FEA" w:rsidP="00683C41">
            <w:pPr>
              <w:pStyle w:val="Default"/>
              <w:jc w:val="center"/>
            </w:pPr>
            <w:r>
              <w:t xml:space="preserve">0 </w:t>
            </w:r>
          </w:p>
        </w:tc>
        <w:tc>
          <w:tcPr>
            <w:tcW w:w="1503" w:type="dxa"/>
          </w:tcPr>
          <w:p w14:paraId="753DF12F" w14:textId="77777777" w:rsidR="00BA7FEA" w:rsidRDefault="00BA7FEA" w:rsidP="00683C41">
            <w:pPr>
              <w:pStyle w:val="Default"/>
              <w:jc w:val="center"/>
            </w:pPr>
            <w:r>
              <w:t xml:space="preserve">1 </w:t>
            </w:r>
          </w:p>
        </w:tc>
      </w:tr>
      <w:tr w:rsidR="00BA7FEA" w14:paraId="49436640" w14:textId="77777777" w:rsidTr="00767297">
        <w:trPr>
          <w:trHeight w:val="285"/>
        </w:trPr>
        <w:tc>
          <w:tcPr>
            <w:tcW w:w="1573" w:type="dxa"/>
          </w:tcPr>
          <w:p w14:paraId="01A4F826" w14:textId="77777777" w:rsidR="00BA7FEA" w:rsidRDefault="00BA7FEA" w:rsidP="00683C41">
            <w:pPr>
              <w:pStyle w:val="Default"/>
              <w:jc w:val="center"/>
            </w:pPr>
            <w:r>
              <w:t xml:space="preserve">0 </w:t>
            </w:r>
          </w:p>
        </w:tc>
        <w:tc>
          <w:tcPr>
            <w:tcW w:w="1503" w:type="dxa"/>
          </w:tcPr>
          <w:p w14:paraId="30D07C75" w14:textId="77777777" w:rsidR="00BA7FEA" w:rsidRDefault="00BA7FEA" w:rsidP="00683C41">
            <w:pPr>
              <w:pStyle w:val="Default"/>
              <w:jc w:val="center"/>
            </w:pPr>
            <w:r>
              <w:t xml:space="preserve">0 </w:t>
            </w:r>
          </w:p>
        </w:tc>
      </w:tr>
      <w:tr w:rsidR="00BA7FEA" w14:paraId="40405BB4" w14:textId="77777777" w:rsidTr="00767297">
        <w:trPr>
          <w:trHeight w:val="285"/>
        </w:trPr>
        <w:tc>
          <w:tcPr>
            <w:tcW w:w="1573" w:type="dxa"/>
          </w:tcPr>
          <w:p w14:paraId="39B6911C" w14:textId="77777777" w:rsidR="00BA7FEA" w:rsidRDefault="00BA7FEA" w:rsidP="00683C41">
            <w:pPr>
              <w:pStyle w:val="Default"/>
              <w:jc w:val="center"/>
            </w:pPr>
            <w:r>
              <w:t xml:space="preserve">0 </w:t>
            </w:r>
          </w:p>
        </w:tc>
        <w:tc>
          <w:tcPr>
            <w:tcW w:w="1503" w:type="dxa"/>
          </w:tcPr>
          <w:p w14:paraId="2BE9B7E3" w14:textId="77777777" w:rsidR="00BA7FEA" w:rsidRDefault="00BA7FEA" w:rsidP="00683C41">
            <w:pPr>
              <w:pStyle w:val="Default"/>
              <w:jc w:val="center"/>
            </w:pPr>
            <w:r>
              <w:t xml:space="preserve">0 </w:t>
            </w:r>
          </w:p>
        </w:tc>
      </w:tr>
      <w:tr w:rsidR="00BA7FEA" w14:paraId="0A07F09E" w14:textId="77777777" w:rsidTr="00767297">
        <w:trPr>
          <w:trHeight w:val="288"/>
        </w:trPr>
        <w:tc>
          <w:tcPr>
            <w:tcW w:w="1573" w:type="dxa"/>
          </w:tcPr>
          <w:p w14:paraId="000AD2E0" w14:textId="77777777" w:rsidR="00BA7FEA" w:rsidRDefault="00BA7FEA" w:rsidP="00683C41">
            <w:pPr>
              <w:pStyle w:val="Default"/>
              <w:jc w:val="center"/>
            </w:pPr>
            <w:r>
              <w:t xml:space="preserve">0 </w:t>
            </w:r>
          </w:p>
        </w:tc>
        <w:tc>
          <w:tcPr>
            <w:tcW w:w="1503" w:type="dxa"/>
          </w:tcPr>
          <w:p w14:paraId="3A487D9E" w14:textId="77777777" w:rsidR="00BA7FEA" w:rsidRDefault="00BA7FEA" w:rsidP="00683C41">
            <w:pPr>
              <w:pStyle w:val="Default"/>
              <w:jc w:val="center"/>
            </w:pPr>
            <w:r>
              <w:t xml:space="preserve">0 </w:t>
            </w:r>
          </w:p>
        </w:tc>
      </w:tr>
    </w:tbl>
    <w:p w14:paraId="6DA692D2" w14:textId="77777777" w:rsidR="00BA7FEA" w:rsidRDefault="00BA7FEA" w:rsidP="00BA7FEA">
      <w:pPr>
        <w:pStyle w:val="Default"/>
        <w:rPr>
          <w:color w:val="auto"/>
        </w:rPr>
      </w:pPr>
    </w:p>
    <w:p w14:paraId="2A5B6FB0" w14:textId="7A335F11" w:rsidR="00BA7FEA" w:rsidRDefault="00BA7FEA" w:rsidP="00BA7FEA">
      <w:pPr>
        <w:pStyle w:val="CM73"/>
        <w:spacing w:line="276" w:lineRule="atLeast"/>
      </w:pPr>
      <w:r>
        <w:rPr>
          <w:b/>
          <w:bCs/>
        </w:rPr>
        <w:t>6. Examine the Employee Attitudes data</w:t>
      </w:r>
      <w:r w:rsidR="00F23EF1">
        <w:rPr>
          <w:b/>
          <w:bCs/>
        </w:rPr>
        <w:t xml:space="preserve"> </w:t>
      </w:r>
      <w:r>
        <w:rPr>
          <w:b/>
          <w:bCs/>
        </w:rPr>
        <w:t xml:space="preserve">set. Use </w:t>
      </w:r>
      <w:r w:rsidR="008D138C" w:rsidRPr="00767297">
        <w:rPr>
          <w:b/>
          <w:bCs/>
        </w:rPr>
        <w:t>τ</w:t>
      </w:r>
      <w:r>
        <w:rPr>
          <w:b/>
          <w:bCs/>
        </w:rPr>
        <w:t xml:space="preserve">-c to test five associations of your choice. Of those that are statistically significant, which are also practically relevant? Why? Practice writing up your results. </w:t>
      </w:r>
    </w:p>
    <w:p w14:paraId="10D86DE9" w14:textId="77777777" w:rsidR="00BA7FEA" w:rsidRDefault="00F23EF1" w:rsidP="00BA7FEA">
      <w:pPr>
        <w:pStyle w:val="CM2"/>
      </w:pPr>
      <w:r>
        <w:lastRenderedPageBreak/>
        <w:t xml:space="preserve">Ans: </w:t>
      </w:r>
      <w:r w:rsidR="00BA7FEA">
        <w:t xml:space="preserve">This is a class exercise, but you can focus on writing up the results. </w:t>
      </w:r>
    </w:p>
    <w:p w14:paraId="61F0952A" w14:textId="13946383" w:rsidR="00BA7FEA" w:rsidRPr="00A728DE" w:rsidRDefault="00BA7FEA" w:rsidP="00767297">
      <w:pPr>
        <w:pStyle w:val="Heading2"/>
      </w:pPr>
      <w:r>
        <w:t>Q</w:t>
      </w:r>
      <w:r w:rsidR="00F23EF1">
        <w:t>uiz</w:t>
      </w:r>
      <w:r>
        <w:t xml:space="preserve"> </w:t>
      </w:r>
      <w:r w:rsidR="00F23EF1" w:rsidRPr="00A728DE">
        <w:t>Questions</w:t>
      </w:r>
    </w:p>
    <w:p w14:paraId="2EE6BFC8" w14:textId="42406AD8" w:rsidR="00C230D8" w:rsidRPr="008D138C" w:rsidRDefault="00BA7FEA" w:rsidP="00C230D8">
      <w:pPr>
        <w:widowControl w:val="0"/>
        <w:numPr>
          <w:ilvl w:val="0"/>
          <w:numId w:val="16"/>
        </w:numPr>
        <w:tabs>
          <w:tab w:val="left" w:pos="-720"/>
        </w:tabs>
        <w:suppressAutoHyphens/>
        <w:spacing w:after="0" w:line="240" w:lineRule="auto"/>
        <w:ind w:hanging="720"/>
        <w:rPr>
          <w:spacing w:val="-3"/>
        </w:rPr>
      </w:pPr>
      <w:r w:rsidRPr="008D138C">
        <w:rPr>
          <w:spacing w:val="-3"/>
        </w:rPr>
        <w:t xml:space="preserve">The proportional reduction in error is a measure of the strength of relationships. </w:t>
      </w:r>
    </w:p>
    <w:p w14:paraId="65583831" w14:textId="3A3935D8" w:rsidR="00BA7FEA" w:rsidRPr="008D138C" w:rsidRDefault="00C230D8" w:rsidP="00767297">
      <w:pPr>
        <w:widowControl w:val="0"/>
        <w:tabs>
          <w:tab w:val="left" w:pos="-720"/>
        </w:tabs>
        <w:suppressAutoHyphens/>
        <w:spacing w:after="0" w:line="240" w:lineRule="auto"/>
        <w:ind w:left="720"/>
        <w:rPr>
          <w:spacing w:val="-3"/>
        </w:rPr>
      </w:pPr>
      <w:r w:rsidRPr="008D138C">
        <w:rPr>
          <w:spacing w:val="-3"/>
        </w:rPr>
        <w:t>Ans: T</w:t>
      </w:r>
    </w:p>
    <w:p w14:paraId="04709628" w14:textId="3FD369CC" w:rsidR="00C230D8" w:rsidRPr="008D138C" w:rsidRDefault="00C230D8" w:rsidP="00C230D8">
      <w:pPr>
        <w:widowControl w:val="0"/>
        <w:numPr>
          <w:ilvl w:val="0"/>
          <w:numId w:val="16"/>
        </w:numPr>
        <w:tabs>
          <w:tab w:val="left" w:pos="-720"/>
        </w:tabs>
        <w:suppressAutoHyphens/>
        <w:spacing w:after="0" w:line="240" w:lineRule="auto"/>
        <w:ind w:hanging="720"/>
        <w:rPr>
          <w:spacing w:val="-3"/>
        </w:rPr>
      </w:pPr>
      <w:r w:rsidRPr="008D138C">
        <w:rPr>
          <w:spacing w:val="-3"/>
        </w:rPr>
        <w:t>Proportional reduction in error</w:t>
      </w:r>
      <w:r w:rsidR="00BA7FEA" w:rsidRPr="008D138C">
        <w:rPr>
          <w:spacing w:val="-3"/>
        </w:rPr>
        <w:t xml:space="preserve"> is the improvement in predicting dependent variables due to knowledge of the independent variable.</w:t>
      </w:r>
    </w:p>
    <w:p w14:paraId="6E3D34A6" w14:textId="517C782B" w:rsidR="00BA7FEA" w:rsidRPr="008D138C" w:rsidRDefault="00C230D8" w:rsidP="00767297">
      <w:pPr>
        <w:widowControl w:val="0"/>
        <w:tabs>
          <w:tab w:val="left" w:pos="-720"/>
        </w:tabs>
        <w:suppressAutoHyphens/>
        <w:spacing w:after="0" w:line="240" w:lineRule="auto"/>
        <w:ind w:left="720"/>
        <w:rPr>
          <w:spacing w:val="-3"/>
        </w:rPr>
      </w:pPr>
      <w:r w:rsidRPr="008D138C">
        <w:rPr>
          <w:spacing w:val="-3"/>
        </w:rPr>
        <w:t>Ans: T</w:t>
      </w:r>
    </w:p>
    <w:p w14:paraId="3D19C661" w14:textId="115EBE54" w:rsidR="00C230D8"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 xml:space="preserve">Although there are no absolute standards for </w:t>
      </w:r>
      <w:r w:rsidR="00C230D8" w:rsidRPr="00BA5B29">
        <w:rPr>
          <w:spacing w:val="-3"/>
        </w:rPr>
        <w:t xml:space="preserve">proportional reduction in error </w:t>
      </w:r>
      <w:r w:rsidRPr="00BA5B29">
        <w:rPr>
          <w:spacing w:val="-3"/>
        </w:rPr>
        <w:t>scores, scores of less than .25 indicate weak association, scores between .25 and .50 indicate moderate association, and scores above .50 indicate strong association.</w:t>
      </w:r>
    </w:p>
    <w:p w14:paraId="20DC5DAB" w14:textId="2892DEE9" w:rsidR="00BA7FEA" w:rsidRPr="00BA5B29" w:rsidRDefault="00C230D8" w:rsidP="00767297">
      <w:pPr>
        <w:widowControl w:val="0"/>
        <w:tabs>
          <w:tab w:val="left" w:pos="-720"/>
        </w:tabs>
        <w:suppressAutoHyphens/>
        <w:spacing w:after="0" w:line="240" w:lineRule="auto"/>
        <w:ind w:left="720"/>
        <w:rPr>
          <w:spacing w:val="-3"/>
        </w:rPr>
      </w:pPr>
      <w:r>
        <w:rPr>
          <w:spacing w:val="-3"/>
        </w:rPr>
        <w:t>Ans: T</w:t>
      </w:r>
    </w:p>
    <w:p w14:paraId="41022836" w14:textId="77777777" w:rsidR="00C230D8"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The concept of paired cases is identical to the concept of independent samples.</w:t>
      </w:r>
    </w:p>
    <w:p w14:paraId="0ACD7736" w14:textId="506D3325" w:rsidR="00BA7FEA" w:rsidRPr="00BA5B29" w:rsidRDefault="00C230D8" w:rsidP="00767297">
      <w:pPr>
        <w:widowControl w:val="0"/>
        <w:tabs>
          <w:tab w:val="left" w:pos="-720"/>
        </w:tabs>
        <w:suppressAutoHyphens/>
        <w:spacing w:after="0" w:line="240" w:lineRule="auto"/>
        <w:ind w:left="720"/>
        <w:rPr>
          <w:spacing w:val="-3"/>
        </w:rPr>
      </w:pPr>
      <w:r>
        <w:rPr>
          <w:spacing w:val="-3"/>
        </w:rPr>
        <w:t>Ans: F</w:t>
      </w:r>
    </w:p>
    <w:p w14:paraId="0763130F" w14:textId="77777777" w:rsidR="00C230D8"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The concept of paired cases is identical to the concept of similar cases.</w:t>
      </w:r>
    </w:p>
    <w:p w14:paraId="7EDEE204" w14:textId="25A2EEF7" w:rsidR="00BA7FEA" w:rsidRPr="00BA5B29" w:rsidRDefault="00C230D8" w:rsidP="00767297">
      <w:pPr>
        <w:widowControl w:val="0"/>
        <w:tabs>
          <w:tab w:val="left" w:pos="-720"/>
        </w:tabs>
        <w:suppressAutoHyphens/>
        <w:spacing w:after="0" w:line="240" w:lineRule="auto"/>
        <w:ind w:left="720"/>
        <w:rPr>
          <w:spacing w:val="-3"/>
        </w:rPr>
      </w:pPr>
      <w:r>
        <w:rPr>
          <w:spacing w:val="-3"/>
        </w:rPr>
        <w:t>Ans: F</w:t>
      </w:r>
    </w:p>
    <w:p w14:paraId="47919CCD" w14:textId="77777777" w:rsidR="00C230D8"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Dependent samples include (1) the before-and-after test scores of subjects in (quasi-) experimental situations, (2) subjects who have been matched or paired, and (3) the ratings of evaluators.</w:t>
      </w:r>
    </w:p>
    <w:p w14:paraId="38394D4C" w14:textId="7E8C9526" w:rsidR="00BA7FEA" w:rsidRPr="00BA5B29" w:rsidRDefault="00C230D8" w:rsidP="00767297">
      <w:pPr>
        <w:widowControl w:val="0"/>
        <w:tabs>
          <w:tab w:val="left" w:pos="-720"/>
        </w:tabs>
        <w:suppressAutoHyphens/>
        <w:spacing w:after="0" w:line="240" w:lineRule="auto"/>
        <w:ind w:left="720"/>
        <w:rPr>
          <w:spacing w:val="-3"/>
        </w:rPr>
      </w:pPr>
      <w:r>
        <w:rPr>
          <w:spacing w:val="-3"/>
        </w:rPr>
        <w:t>Ans: T</w:t>
      </w:r>
    </w:p>
    <w:p w14:paraId="09573ADF" w14:textId="0971DC38" w:rsidR="00C230D8"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 xml:space="preserve">Kendall’s </w:t>
      </w:r>
      <w:r w:rsidR="008D138C" w:rsidRPr="00343051">
        <w:rPr>
          <w:bCs/>
        </w:rPr>
        <w:t>τ</w:t>
      </w:r>
      <w:r w:rsidRPr="00BA5B29">
        <w:rPr>
          <w:spacing w:val="-3"/>
        </w:rPr>
        <w:t xml:space="preserve">-b is more conservative than Kendall’s </w:t>
      </w:r>
      <w:r w:rsidR="008D138C" w:rsidRPr="00343051">
        <w:rPr>
          <w:bCs/>
        </w:rPr>
        <w:t>τ</w:t>
      </w:r>
      <w:r w:rsidRPr="00BA5B29">
        <w:rPr>
          <w:spacing w:val="-3"/>
        </w:rPr>
        <w:t>-c.</w:t>
      </w:r>
    </w:p>
    <w:p w14:paraId="727A43D1" w14:textId="21EA866C" w:rsidR="00BA7FEA" w:rsidRPr="00BA5B29" w:rsidRDefault="00C230D8" w:rsidP="00767297">
      <w:pPr>
        <w:widowControl w:val="0"/>
        <w:tabs>
          <w:tab w:val="left" w:pos="-720"/>
        </w:tabs>
        <w:suppressAutoHyphens/>
        <w:spacing w:after="0" w:line="240" w:lineRule="auto"/>
        <w:ind w:left="720"/>
        <w:rPr>
          <w:spacing w:val="-3"/>
        </w:rPr>
      </w:pPr>
      <w:r>
        <w:rPr>
          <w:spacing w:val="-3"/>
        </w:rPr>
        <w:t>Ans: F</w:t>
      </w:r>
    </w:p>
    <w:p w14:paraId="57889BB7" w14:textId="3D33A46B" w:rsidR="00C230D8"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 xml:space="preserve">Kendall’s </w:t>
      </w:r>
      <w:r w:rsidR="008D138C" w:rsidRPr="00343051">
        <w:rPr>
          <w:bCs/>
        </w:rPr>
        <w:t>τ</w:t>
      </w:r>
      <w:r w:rsidRPr="00BA5B29">
        <w:rPr>
          <w:spacing w:val="-3"/>
        </w:rPr>
        <w:t>-b can be used only for square tables.</w:t>
      </w:r>
    </w:p>
    <w:p w14:paraId="2ECA9FD0" w14:textId="02A5A47D" w:rsidR="00BA7FEA" w:rsidRPr="00BA5B29" w:rsidRDefault="00C230D8" w:rsidP="00767297">
      <w:pPr>
        <w:widowControl w:val="0"/>
        <w:tabs>
          <w:tab w:val="left" w:pos="-720"/>
        </w:tabs>
        <w:suppressAutoHyphens/>
        <w:spacing w:after="0" w:line="240" w:lineRule="auto"/>
        <w:ind w:left="720"/>
        <w:rPr>
          <w:spacing w:val="-3"/>
        </w:rPr>
      </w:pPr>
      <w:r>
        <w:rPr>
          <w:spacing w:val="-3"/>
        </w:rPr>
        <w:t>Ans: T</w:t>
      </w:r>
    </w:p>
    <w:p w14:paraId="2E61AA5B" w14:textId="27A3FACC" w:rsidR="00C230D8"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 xml:space="preserve">Goodman and Kruskal’s </w:t>
      </w:r>
      <w:r w:rsidR="008D138C" w:rsidRPr="00343051">
        <w:rPr>
          <w:bCs/>
        </w:rPr>
        <w:t>τ</w:t>
      </w:r>
      <w:r w:rsidRPr="00BA5B29">
        <w:rPr>
          <w:spacing w:val="-3"/>
        </w:rPr>
        <w:t xml:space="preserve"> is appropriate for continuous-level data.</w:t>
      </w:r>
    </w:p>
    <w:p w14:paraId="73D13CF2" w14:textId="62FC446E" w:rsidR="00BA7FEA" w:rsidRPr="00BA5B29" w:rsidRDefault="00C230D8" w:rsidP="00767297">
      <w:pPr>
        <w:widowControl w:val="0"/>
        <w:tabs>
          <w:tab w:val="left" w:pos="-720"/>
        </w:tabs>
        <w:suppressAutoHyphens/>
        <w:spacing w:after="0" w:line="240" w:lineRule="auto"/>
        <w:ind w:left="720"/>
        <w:rPr>
          <w:spacing w:val="-3"/>
        </w:rPr>
      </w:pPr>
      <w:r>
        <w:rPr>
          <w:spacing w:val="-3"/>
        </w:rPr>
        <w:t>Ans: F</w:t>
      </w:r>
    </w:p>
    <w:p w14:paraId="3D1C1297" w14:textId="02DA1F9C" w:rsidR="00C230D8"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A goodness-of-fit test tests whether one distribution is similar to another.</w:t>
      </w:r>
    </w:p>
    <w:p w14:paraId="7901FC4D" w14:textId="2BCDD69C" w:rsidR="00BA7FEA" w:rsidRPr="00BA5B29" w:rsidRDefault="00C230D8" w:rsidP="00767297">
      <w:pPr>
        <w:widowControl w:val="0"/>
        <w:tabs>
          <w:tab w:val="left" w:pos="-720"/>
        </w:tabs>
        <w:suppressAutoHyphens/>
        <w:spacing w:after="0" w:line="240" w:lineRule="auto"/>
        <w:ind w:left="720"/>
        <w:rPr>
          <w:spacing w:val="-3"/>
        </w:rPr>
      </w:pPr>
      <w:r>
        <w:rPr>
          <w:spacing w:val="-3"/>
        </w:rPr>
        <w:t>Ans: T</w:t>
      </w:r>
    </w:p>
    <w:p w14:paraId="5C3900D2" w14:textId="77777777" w:rsidR="00215A91"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Researchers sometimes use two-by-two tables to increase the amount of information in the rows and columns.</w:t>
      </w:r>
    </w:p>
    <w:p w14:paraId="11E15308" w14:textId="6ECE2F97" w:rsidR="00BA7FEA" w:rsidRPr="00BA5B29" w:rsidRDefault="00215A91" w:rsidP="00767297">
      <w:pPr>
        <w:widowControl w:val="0"/>
        <w:tabs>
          <w:tab w:val="left" w:pos="-720"/>
        </w:tabs>
        <w:suppressAutoHyphens/>
        <w:spacing w:after="0" w:line="240" w:lineRule="auto"/>
        <w:ind w:left="720"/>
        <w:rPr>
          <w:spacing w:val="-3"/>
        </w:rPr>
      </w:pPr>
      <w:r>
        <w:rPr>
          <w:spacing w:val="-3"/>
        </w:rPr>
        <w:t>Ans: T</w:t>
      </w:r>
    </w:p>
    <w:p w14:paraId="0C3B0C1D" w14:textId="77777777" w:rsidR="00125D5B"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The Fisher exact test is used for two-by-two tables with small samples.</w:t>
      </w:r>
    </w:p>
    <w:p w14:paraId="504C5C79" w14:textId="2A6D3B0F" w:rsidR="00BA7FEA" w:rsidRPr="00BA5B29" w:rsidRDefault="00125D5B" w:rsidP="00767297">
      <w:pPr>
        <w:widowControl w:val="0"/>
        <w:tabs>
          <w:tab w:val="left" w:pos="-720"/>
        </w:tabs>
        <w:suppressAutoHyphens/>
        <w:spacing w:after="0" w:line="240" w:lineRule="auto"/>
        <w:ind w:left="720"/>
        <w:rPr>
          <w:spacing w:val="-3"/>
        </w:rPr>
      </w:pPr>
      <w:r>
        <w:rPr>
          <w:spacing w:val="-3"/>
        </w:rPr>
        <w:t>Ans: T</w:t>
      </w:r>
    </w:p>
    <w:p w14:paraId="1C8460AE" w14:textId="3B7F7422" w:rsidR="00125D5B"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The McNemar test is a paired</w:t>
      </w:r>
      <w:r w:rsidR="008D138C">
        <w:rPr>
          <w:spacing w:val="-3"/>
        </w:rPr>
        <w:t xml:space="preserve"> </w:t>
      </w:r>
      <w:r w:rsidRPr="00BA5B29">
        <w:rPr>
          <w:spacing w:val="-3"/>
        </w:rPr>
        <w:t xml:space="preserve">samples test that is commonly used in discrimination cases. </w:t>
      </w:r>
    </w:p>
    <w:p w14:paraId="1D7DBB12" w14:textId="77F26E80" w:rsidR="00BA7FEA" w:rsidRPr="00BA5B29" w:rsidRDefault="00125D5B" w:rsidP="00767297">
      <w:pPr>
        <w:widowControl w:val="0"/>
        <w:tabs>
          <w:tab w:val="left" w:pos="-720"/>
        </w:tabs>
        <w:suppressAutoHyphens/>
        <w:spacing w:after="0" w:line="240" w:lineRule="auto"/>
        <w:ind w:left="720"/>
        <w:rPr>
          <w:spacing w:val="-3"/>
        </w:rPr>
      </w:pPr>
      <w:r>
        <w:rPr>
          <w:spacing w:val="-3"/>
        </w:rPr>
        <w:t>Ans: T</w:t>
      </w:r>
    </w:p>
    <w:p w14:paraId="7B7E5C6E" w14:textId="77777777" w:rsidR="00125D5B"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When measures are symmetric, two different statistics are produced depending on which variable is the directional one.</w:t>
      </w:r>
    </w:p>
    <w:p w14:paraId="39ACDF53" w14:textId="79F0D7AE" w:rsidR="00BA7FEA" w:rsidRPr="00BA5B29" w:rsidRDefault="00125D5B" w:rsidP="00767297">
      <w:pPr>
        <w:widowControl w:val="0"/>
        <w:tabs>
          <w:tab w:val="left" w:pos="-720"/>
        </w:tabs>
        <w:suppressAutoHyphens/>
        <w:spacing w:after="0" w:line="240" w:lineRule="auto"/>
        <w:ind w:left="720"/>
        <w:rPr>
          <w:spacing w:val="-3"/>
        </w:rPr>
      </w:pPr>
      <w:r>
        <w:rPr>
          <w:spacing w:val="-3"/>
        </w:rPr>
        <w:t>Ans: F</w:t>
      </w:r>
    </w:p>
    <w:p w14:paraId="38003444" w14:textId="278F3742" w:rsidR="00125D5B"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The Kruskal</w:t>
      </w:r>
      <w:r w:rsidR="00125D5B">
        <w:rPr>
          <w:spacing w:val="-3"/>
        </w:rPr>
        <w:t>–</w:t>
      </w:r>
      <w:r w:rsidRPr="00BA5B29">
        <w:rPr>
          <w:spacing w:val="-3"/>
        </w:rPr>
        <w:t>Wallis test assigns ranks to continuous data and then evaluates whether the mean ranks are statistically identical between groups.</w:t>
      </w:r>
    </w:p>
    <w:p w14:paraId="7AE1E89F" w14:textId="250D557D" w:rsidR="00BA7FEA" w:rsidRPr="00BA5B29" w:rsidRDefault="00125D5B" w:rsidP="00767297">
      <w:pPr>
        <w:widowControl w:val="0"/>
        <w:tabs>
          <w:tab w:val="left" w:pos="-720"/>
        </w:tabs>
        <w:suppressAutoHyphens/>
        <w:spacing w:after="0" w:line="240" w:lineRule="auto"/>
        <w:ind w:left="720"/>
        <w:rPr>
          <w:spacing w:val="-3"/>
        </w:rPr>
      </w:pPr>
      <w:r>
        <w:rPr>
          <w:spacing w:val="-3"/>
        </w:rPr>
        <w:t>Ans: T</w:t>
      </w:r>
    </w:p>
    <w:p w14:paraId="47A60662" w14:textId="0B956EFC" w:rsidR="00125D5B"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The Kruskal</w:t>
      </w:r>
      <w:r w:rsidR="00125D5B">
        <w:rPr>
          <w:spacing w:val="-3"/>
        </w:rPr>
        <w:t>–</w:t>
      </w:r>
      <w:r w:rsidRPr="00BA5B29">
        <w:rPr>
          <w:spacing w:val="-3"/>
        </w:rPr>
        <w:t>Wallis test is appropriate for mixed ordinal-nominal data.</w:t>
      </w:r>
    </w:p>
    <w:p w14:paraId="474FC9B9" w14:textId="0B50272F" w:rsidR="00BA7FEA" w:rsidRPr="00BA5B29" w:rsidRDefault="00125D5B" w:rsidP="00767297">
      <w:pPr>
        <w:widowControl w:val="0"/>
        <w:tabs>
          <w:tab w:val="left" w:pos="-720"/>
        </w:tabs>
        <w:suppressAutoHyphens/>
        <w:spacing w:after="0" w:line="240" w:lineRule="auto"/>
        <w:ind w:left="720"/>
        <w:rPr>
          <w:spacing w:val="-3"/>
        </w:rPr>
      </w:pPr>
      <w:r>
        <w:rPr>
          <w:spacing w:val="-3"/>
        </w:rPr>
        <w:t>Ans: T</w:t>
      </w:r>
    </w:p>
    <w:p w14:paraId="5AFA9C2A" w14:textId="77777777" w:rsidR="00125D5B" w:rsidRDefault="00BA7FEA" w:rsidP="00BA7FEA">
      <w:pPr>
        <w:widowControl w:val="0"/>
        <w:numPr>
          <w:ilvl w:val="0"/>
          <w:numId w:val="16"/>
        </w:numPr>
        <w:tabs>
          <w:tab w:val="left" w:pos="-720"/>
        </w:tabs>
        <w:suppressAutoHyphens/>
        <w:spacing w:after="0" w:line="240" w:lineRule="auto"/>
        <w:ind w:hanging="720"/>
        <w:rPr>
          <w:spacing w:val="-3"/>
        </w:rPr>
      </w:pPr>
      <w:r w:rsidRPr="00BA5B29">
        <w:rPr>
          <w:spacing w:val="-3"/>
        </w:rPr>
        <w:t>The Friedman test is used to test whether evaluators agree in their ratings.</w:t>
      </w:r>
    </w:p>
    <w:p w14:paraId="5B45EEEB" w14:textId="78292F67" w:rsidR="00BA7FEA" w:rsidRPr="00BA5B29" w:rsidRDefault="00125D5B" w:rsidP="00767297">
      <w:pPr>
        <w:widowControl w:val="0"/>
        <w:tabs>
          <w:tab w:val="left" w:pos="-720"/>
        </w:tabs>
        <w:suppressAutoHyphens/>
        <w:spacing w:after="0" w:line="240" w:lineRule="auto"/>
        <w:ind w:left="720"/>
        <w:rPr>
          <w:spacing w:val="-3"/>
        </w:rPr>
      </w:pPr>
      <w:r>
        <w:rPr>
          <w:spacing w:val="-3"/>
        </w:rPr>
        <w:t>Ans: T</w:t>
      </w:r>
    </w:p>
    <w:p w14:paraId="1123E81F" w14:textId="77777777" w:rsidR="00542CC3" w:rsidRPr="00A44E55" w:rsidRDefault="00542CC3" w:rsidP="00542CC3"/>
    <w:sectPr w:rsidR="00542CC3" w:rsidRPr="00A44E55" w:rsidSect="003E708D">
      <w:headerReference w:type="default" r:id="rId1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D547F" w14:textId="77777777" w:rsidR="00BA7FEA" w:rsidRDefault="00BA7FEA">
      <w:r>
        <w:separator/>
      </w:r>
    </w:p>
  </w:endnote>
  <w:endnote w:type="continuationSeparator" w:id="0">
    <w:p w14:paraId="4C46A9B7" w14:textId="77777777" w:rsidR="00BA7FEA" w:rsidRDefault="00BA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F253B" w14:textId="77777777" w:rsidR="00BA7FEA" w:rsidRDefault="00BA7FEA">
      <w:r>
        <w:separator/>
      </w:r>
    </w:p>
  </w:footnote>
  <w:footnote w:type="continuationSeparator" w:id="0">
    <w:p w14:paraId="27FAFF17" w14:textId="77777777" w:rsidR="00BA7FEA" w:rsidRDefault="00BA7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1C239" w14:textId="77777777" w:rsidR="00D8701F" w:rsidRDefault="004762E3" w:rsidP="003E708D">
    <w:pPr>
      <w:pStyle w:val="Header"/>
      <w:jc w:val="right"/>
    </w:pPr>
    <w:r>
      <w:t>Instructor</w:t>
    </w:r>
    <w:r w:rsidR="00542CC3">
      <w:t xml:space="preserve"> </w:t>
    </w:r>
    <w:r>
      <w:t>Resource</w:t>
    </w:r>
  </w:p>
  <w:p w14:paraId="1974C8D2" w14:textId="176E0A71" w:rsidR="004762E3" w:rsidRDefault="0045291F" w:rsidP="003E708D">
    <w:pPr>
      <w:pStyle w:val="Header"/>
      <w:jc w:val="right"/>
      <w:rPr>
        <w:i/>
      </w:rPr>
    </w:pPr>
    <w:r>
      <w:t>Berman and Wang</w:t>
    </w:r>
    <w:r w:rsidR="004762E3">
      <w:t xml:space="preserve">, </w:t>
    </w:r>
    <w:r w:rsidRPr="006250D1">
      <w:rPr>
        <w:i/>
      </w:rPr>
      <w:t>Essential</w:t>
    </w:r>
    <w:r>
      <w:rPr>
        <w:i/>
      </w:rPr>
      <w:t xml:space="preserve"> </w:t>
    </w:r>
    <w:r w:rsidRPr="006250D1">
      <w:rPr>
        <w:i/>
      </w:rPr>
      <w:t>Statistics</w:t>
    </w:r>
    <w:r>
      <w:rPr>
        <w:i/>
      </w:rPr>
      <w:t xml:space="preserve"> </w:t>
    </w:r>
    <w:r w:rsidRPr="006250D1">
      <w:rPr>
        <w:i/>
      </w:rPr>
      <w:t>for</w:t>
    </w:r>
    <w:r>
      <w:rPr>
        <w:i/>
      </w:rPr>
      <w:t xml:space="preserve"> </w:t>
    </w:r>
    <w:r w:rsidRPr="006250D1">
      <w:rPr>
        <w:i/>
      </w:rPr>
      <w:t>Public Managers</w:t>
    </w:r>
    <w:r>
      <w:rPr>
        <w:i/>
      </w:rPr>
      <w:t xml:space="preserve"> </w:t>
    </w:r>
    <w:r w:rsidRPr="006250D1">
      <w:rPr>
        <w:i/>
      </w:rPr>
      <w:t>and Policy Analysts</w:t>
    </w:r>
    <w:r w:rsidR="00542CC3">
      <w:rPr>
        <w:i/>
      </w:rPr>
      <w:t xml:space="preserve">, </w:t>
    </w:r>
    <w:r>
      <w:rPr>
        <w:i/>
      </w:rPr>
      <w:t>4</w:t>
    </w:r>
    <w:r w:rsidRPr="00524E42">
      <w:rPr>
        <w:i/>
      </w:rPr>
      <w:t>th</w:t>
    </w:r>
    <w:r>
      <w:rPr>
        <w:i/>
      </w:rPr>
      <w:t xml:space="preserve"> </w:t>
    </w:r>
    <w:r w:rsidR="00542CC3">
      <w:rPr>
        <w:i/>
      </w:rPr>
      <w:t>edition</w:t>
    </w:r>
  </w:p>
  <w:p w14:paraId="3048D809" w14:textId="75DAE824" w:rsidR="004762E3" w:rsidRPr="004762E3" w:rsidRDefault="004762E3" w:rsidP="003E708D">
    <w:pPr>
      <w:pStyle w:val="Header"/>
      <w:jc w:val="right"/>
    </w:pPr>
    <w:r>
      <w:t xml:space="preserve">SAGE Publishing, </w:t>
    </w:r>
    <w:r w:rsidR="0045291F">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F7F4"/>
    <w:multiLevelType w:val="hybridMultilevel"/>
    <w:tmpl w:val="B3D3D14D"/>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83B9AC"/>
    <w:multiLevelType w:val="hybridMultilevel"/>
    <w:tmpl w:val="ED2E8CE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6"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935504"/>
    <w:multiLevelType w:val="hybridMultilevel"/>
    <w:tmpl w:val="84AE79B2"/>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1C12B20"/>
    <w:multiLevelType w:val="hybridMultilevel"/>
    <w:tmpl w:val="5442E2C4"/>
    <w:lvl w:ilvl="0" w:tplc="B3AA16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12"/>
  </w:num>
  <w:num w:numId="4">
    <w:abstractNumId w:val="10"/>
  </w:num>
  <w:num w:numId="5">
    <w:abstractNumId w:val="11"/>
  </w:num>
  <w:num w:numId="6">
    <w:abstractNumId w:val="6"/>
  </w:num>
  <w:num w:numId="7">
    <w:abstractNumId w:val="4"/>
  </w:num>
  <w:num w:numId="8">
    <w:abstractNumId w:val="3"/>
  </w:num>
  <w:num w:numId="9">
    <w:abstractNumId w:val="2"/>
  </w:num>
  <w:num w:numId="10">
    <w:abstractNumId w:val="5"/>
  </w:num>
  <w:num w:numId="11">
    <w:abstractNumId w:val="13"/>
  </w:num>
  <w:num w:numId="12">
    <w:abstractNumId w:val="14"/>
  </w:num>
  <w:num w:numId="13">
    <w:abstractNumId w:val="0"/>
  </w:num>
  <w:num w:numId="14">
    <w:abstractNumId w:val="8"/>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EA"/>
    <w:rsid w:val="0000406D"/>
    <w:rsid w:val="00020B28"/>
    <w:rsid w:val="00024CB8"/>
    <w:rsid w:val="000269C6"/>
    <w:rsid w:val="00033437"/>
    <w:rsid w:val="000F388C"/>
    <w:rsid w:val="00120C40"/>
    <w:rsid w:val="00125D5B"/>
    <w:rsid w:val="001308F9"/>
    <w:rsid w:val="00185227"/>
    <w:rsid w:val="00192DBB"/>
    <w:rsid w:val="001A7FC1"/>
    <w:rsid w:val="001B761C"/>
    <w:rsid w:val="001F7343"/>
    <w:rsid w:val="00215A91"/>
    <w:rsid w:val="00227074"/>
    <w:rsid w:val="00272B2E"/>
    <w:rsid w:val="002935D1"/>
    <w:rsid w:val="002D0F36"/>
    <w:rsid w:val="002E5C4B"/>
    <w:rsid w:val="0031597F"/>
    <w:rsid w:val="00321023"/>
    <w:rsid w:val="00327683"/>
    <w:rsid w:val="00331370"/>
    <w:rsid w:val="0034490C"/>
    <w:rsid w:val="00361935"/>
    <w:rsid w:val="00370467"/>
    <w:rsid w:val="00393EAF"/>
    <w:rsid w:val="003C0183"/>
    <w:rsid w:val="003C4235"/>
    <w:rsid w:val="003E4ADC"/>
    <w:rsid w:val="003E708D"/>
    <w:rsid w:val="003E7BF7"/>
    <w:rsid w:val="003F0E55"/>
    <w:rsid w:val="0041308D"/>
    <w:rsid w:val="0045291F"/>
    <w:rsid w:val="004762E3"/>
    <w:rsid w:val="00486A8A"/>
    <w:rsid w:val="004B17D5"/>
    <w:rsid w:val="004B3596"/>
    <w:rsid w:val="004B4A0D"/>
    <w:rsid w:val="004C7FAF"/>
    <w:rsid w:val="004E6081"/>
    <w:rsid w:val="00500B36"/>
    <w:rsid w:val="00514BED"/>
    <w:rsid w:val="00524E42"/>
    <w:rsid w:val="0053536D"/>
    <w:rsid w:val="00542CC3"/>
    <w:rsid w:val="00542E35"/>
    <w:rsid w:val="00560101"/>
    <w:rsid w:val="005646CF"/>
    <w:rsid w:val="00582851"/>
    <w:rsid w:val="00593132"/>
    <w:rsid w:val="005C3238"/>
    <w:rsid w:val="00616A17"/>
    <w:rsid w:val="00637F09"/>
    <w:rsid w:val="006537C0"/>
    <w:rsid w:val="00661127"/>
    <w:rsid w:val="0067627F"/>
    <w:rsid w:val="006C2721"/>
    <w:rsid w:val="006D1107"/>
    <w:rsid w:val="006E1D22"/>
    <w:rsid w:val="006E1D8E"/>
    <w:rsid w:val="006F4090"/>
    <w:rsid w:val="0072507A"/>
    <w:rsid w:val="007557A1"/>
    <w:rsid w:val="00761723"/>
    <w:rsid w:val="00767297"/>
    <w:rsid w:val="007B2823"/>
    <w:rsid w:val="007E0685"/>
    <w:rsid w:val="00811EC9"/>
    <w:rsid w:val="0084549C"/>
    <w:rsid w:val="00852986"/>
    <w:rsid w:val="008634BD"/>
    <w:rsid w:val="00870008"/>
    <w:rsid w:val="00875C8B"/>
    <w:rsid w:val="00876836"/>
    <w:rsid w:val="008978D0"/>
    <w:rsid w:val="008A6EDB"/>
    <w:rsid w:val="008B339D"/>
    <w:rsid w:val="008C4617"/>
    <w:rsid w:val="008D029E"/>
    <w:rsid w:val="008D138C"/>
    <w:rsid w:val="008D64ED"/>
    <w:rsid w:val="008E46E0"/>
    <w:rsid w:val="0092492A"/>
    <w:rsid w:val="00956287"/>
    <w:rsid w:val="00963D40"/>
    <w:rsid w:val="00974AA9"/>
    <w:rsid w:val="009A40A6"/>
    <w:rsid w:val="009B2FE8"/>
    <w:rsid w:val="00A059F3"/>
    <w:rsid w:val="00A1465F"/>
    <w:rsid w:val="00A44E55"/>
    <w:rsid w:val="00A728DE"/>
    <w:rsid w:val="00A84C45"/>
    <w:rsid w:val="00A917DD"/>
    <w:rsid w:val="00AB42AC"/>
    <w:rsid w:val="00AD5452"/>
    <w:rsid w:val="00AD5E2E"/>
    <w:rsid w:val="00AE7754"/>
    <w:rsid w:val="00AF311C"/>
    <w:rsid w:val="00AF4F8B"/>
    <w:rsid w:val="00B164AA"/>
    <w:rsid w:val="00B31FED"/>
    <w:rsid w:val="00B36615"/>
    <w:rsid w:val="00B42E08"/>
    <w:rsid w:val="00B73564"/>
    <w:rsid w:val="00B8750C"/>
    <w:rsid w:val="00BA24B2"/>
    <w:rsid w:val="00BA7FEA"/>
    <w:rsid w:val="00BB0C36"/>
    <w:rsid w:val="00C048E3"/>
    <w:rsid w:val="00C07D3B"/>
    <w:rsid w:val="00C230D8"/>
    <w:rsid w:val="00C55F1A"/>
    <w:rsid w:val="00C6457F"/>
    <w:rsid w:val="00C8654C"/>
    <w:rsid w:val="00CB2339"/>
    <w:rsid w:val="00CD1179"/>
    <w:rsid w:val="00CF39F3"/>
    <w:rsid w:val="00CF5F08"/>
    <w:rsid w:val="00D264E8"/>
    <w:rsid w:val="00D33536"/>
    <w:rsid w:val="00D37AF2"/>
    <w:rsid w:val="00D46302"/>
    <w:rsid w:val="00D608A0"/>
    <w:rsid w:val="00D667AA"/>
    <w:rsid w:val="00D709AC"/>
    <w:rsid w:val="00D8701F"/>
    <w:rsid w:val="00DA246F"/>
    <w:rsid w:val="00E352E1"/>
    <w:rsid w:val="00E43138"/>
    <w:rsid w:val="00E52712"/>
    <w:rsid w:val="00E57125"/>
    <w:rsid w:val="00E74418"/>
    <w:rsid w:val="00EC67A7"/>
    <w:rsid w:val="00EC6AC2"/>
    <w:rsid w:val="00F0393C"/>
    <w:rsid w:val="00F03948"/>
    <w:rsid w:val="00F23EF1"/>
    <w:rsid w:val="00F4373D"/>
    <w:rsid w:val="00F54DB9"/>
    <w:rsid w:val="00F7153D"/>
    <w:rsid w:val="00F77A8F"/>
    <w:rsid w:val="00FE64DE"/>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52C17E"/>
  <w15:docId w15:val="{184318EC-B16F-4A53-BA92-FF7C045B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FEA"/>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spacing w:after="0"/>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rPr>
  </w:style>
  <w:style w:type="paragraph" w:customStyle="1" w:styleId="ReferenceText">
    <w:name w:val="Reference Text"/>
    <w:basedOn w:val="Normal"/>
    <w:uiPriority w:val="99"/>
    <w:qFormat/>
    <w:rsid w:val="00542CC3"/>
    <w:pPr>
      <w:spacing w:before="120" w:after="0"/>
      <w:ind w:left="720" w:hanging="720"/>
    </w:pPr>
    <w:rPr>
      <w:rFonts w:eastAsiaTheme="minorHAnsi"/>
    </w:r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paragraph" w:customStyle="1" w:styleId="Default">
    <w:name w:val="Default"/>
    <w:rsid w:val="00BA7FEA"/>
    <w:pPr>
      <w:widowControl w:val="0"/>
      <w:autoSpaceDE w:val="0"/>
      <w:autoSpaceDN w:val="0"/>
      <w:adjustRightInd w:val="0"/>
    </w:pPr>
    <w:rPr>
      <w:rFonts w:eastAsiaTheme="minorEastAsia"/>
      <w:color w:val="000000"/>
      <w:sz w:val="24"/>
      <w:szCs w:val="24"/>
    </w:rPr>
  </w:style>
  <w:style w:type="paragraph" w:customStyle="1" w:styleId="CM73">
    <w:name w:val="CM73"/>
    <w:basedOn w:val="Default"/>
    <w:next w:val="Default"/>
    <w:uiPriority w:val="99"/>
    <w:rsid w:val="00BA7FEA"/>
    <w:pPr>
      <w:spacing w:after="278"/>
    </w:pPr>
    <w:rPr>
      <w:color w:val="auto"/>
    </w:rPr>
  </w:style>
  <w:style w:type="paragraph" w:customStyle="1" w:styleId="CM2">
    <w:name w:val="CM2"/>
    <w:basedOn w:val="Default"/>
    <w:next w:val="Default"/>
    <w:uiPriority w:val="99"/>
    <w:rsid w:val="00BA7FEA"/>
    <w:pPr>
      <w:spacing w:line="276" w:lineRule="atLeast"/>
    </w:pPr>
    <w:rPr>
      <w:color w:val="auto"/>
    </w:rPr>
  </w:style>
  <w:style w:type="paragraph" w:customStyle="1" w:styleId="CM74">
    <w:name w:val="CM74"/>
    <w:basedOn w:val="Default"/>
    <w:next w:val="Default"/>
    <w:uiPriority w:val="99"/>
    <w:rsid w:val="00BA7FEA"/>
    <w:pPr>
      <w:spacing w:after="540"/>
    </w:pPr>
    <w:rPr>
      <w:color w:val="auto"/>
    </w:rPr>
  </w:style>
  <w:style w:type="paragraph" w:customStyle="1" w:styleId="CM9">
    <w:name w:val="CM9"/>
    <w:basedOn w:val="Default"/>
    <w:next w:val="Default"/>
    <w:uiPriority w:val="99"/>
    <w:rsid w:val="00BA7FEA"/>
    <w:pPr>
      <w:spacing w:line="276" w:lineRule="atLeast"/>
    </w:pPr>
    <w:rPr>
      <w:color w:val="auto"/>
    </w:rPr>
  </w:style>
  <w:style w:type="paragraph" w:customStyle="1" w:styleId="CM75">
    <w:name w:val="CM75"/>
    <w:basedOn w:val="Default"/>
    <w:next w:val="Default"/>
    <w:uiPriority w:val="99"/>
    <w:rsid w:val="00BA7FEA"/>
    <w:pPr>
      <w:spacing w:after="190"/>
    </w:pPr>
    <w:rPr>
      <w:color w:val="auto"/>
    </w:rPr>
  </w:style>
  <w:style w:type="paragraph" w:customStyle="1" w:styleId="CM83">
    <w:name w:val="CM83"/>
    <w:basedOn w:val="Default"/>
    <w:next w:val="Default"/>
    <w:uiPriority w:val="99"/>
    <w:rsid w:val="00BA7FEA"/>
    <w:pPr>
      <w:spacing w:after="103"/>
    </w:pPr>
    <w:rPr>
      <w:color w:val="auto"/>
    </w:rPr>
  </w:style>
  <w:style w:type="paragraph" w:customStyle="1" w:styleId="CM78">
    <w:name w:val="CM78"/>
    <w:basedOn w:val="Default"/>
    <w:next w:val="Default"/>
    <w:uiPriority w:val="99"/>
    <w:rsid w:val="00BA7FEA"/>
    <w:pPr>
      <w:spacing w:after="398"/>
    </w:pPr>
    <w:rPr>
      <w:color w:val="auto"/>
    </w:rPr>
  </w:style>
  <w:style w:type="paragraph" w:customStyle="1" w:styleId="CM81">
    <w:name w:val="CM81"/>
    <w:basedOn w:val="Default"/>
    <w:next w:val="Default"/>
    <w:uiPriority w:val="99"/>
    <w:rsid w:val="00BA7FEA"/>
    <w:pPr>
      <w:spacing w:after="458"/>
    </w:pPr>
    <w:rPr>
      <w:color w:val="auto"/>
    </w:rPr>
  </w:style>
  <w:style w:type="table" w:styleId="TableGrid">
    <w:name w:val="Table Grid"/>
    <w:basedOn w:val="TableNormal"/>
    <w:rsid w:val="00AE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728DE"/>
    <w:rPr>
      <w:sz w:val="16"/>
      <w:szCs w:val="16"/>
    </w:rPr>
  </w:style>
  <w:style w:type="paragraph" w:styleId="CommentText">
    <w:name w:val="annotation text"/>
    <w:basedOn w:val="Normal"/>
    <w:link w:val="CommentTextChar"/>
    <w:semiHidden/>
    <w:unhideWhenUsed/>
    <w:rsid w:val="00A728DE"/>
    <w:pPr>
      <w:spacing w:line="240" w:lineRule="auto"/>
    </w:pPr>
    <w:rPr>
      <w:sz w:val="20"/>
      <w:szCs w:val="20"/>
    </w:rPr>
  </w:style>
  <w:style w:type="character" w:customStyle="1" w:styleId="CommentTextChar">
    <w:name w:val="Comment Text Char"/>
    <w:basedOn w:val="DefaultParagraphFont"/>
    <w:link w:val="CommentText"/>
    <w:semiHidden/>
    <w:rsid w:val="00A728DE"/>
    <w:rPr>
      <w:rFonts w:asciiTheme="minorHAnsi" w:eastAsiaTheme="minorEastAsia" w:hAnsiTheme="minorHAnsi" w:cstheme="minorBidi"/>
    </w:rPr>
  </w:style>
  <w:style w:type="paragraph" w:styleId="CommentSubject">
    <w:name w:val="annotation subject"/>
    <w:basedOn w:val="CommentText"/>
    <w:next w:val="CommentText"/>
    <w:link w:val="CommentSubjectChar"/>
    <w:semiHidden/>
    <w:unhideWhenUsed/>
    <w:rsid w:val="00A728DE"/>
    <w:rPr>
      <w:b/>
      <w:bCs/>
    </w:rPr>
  </w:style>
  <w:style w:type="character" w:customStyle="1" w:styleId="CommentSubjectChar">
    <w:name w:val="Comment Subject Char"/>
    <w:basedOn w:val="CommentTextChar"/>
    <w:link w:val="CommentSubject"/>
    <w:semiHidden/>
    <w:rsid w:val="00A728DE"/>
    <w:rPr>
      <w:rFonts w:asciiTheme="minorHAnsi" w:eastAsiaTheme="minorEastAsia" w:hAnsiTheme="minorHAnsi" w:cstheme="minorBidi"/>
      <w:b/>
      <w:bCs/>
    </w:rPr>
  </w:style>
  <w:style w:type="paragraph" w:styleId="Revision">
    <w:name w:val="Revision"/>
    <w:hidden/>
    <w:uiPriority w:val="99"/>
    <w:semiHidden/>
    <w:rsid w:val="00A728D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5C863-66C8-4B9A-853F-1938E3C4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13800</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Prachiti Surange</dc:creator>
  <cp:lastModifiedBy>Scappini, John</cp:lastModifiedBy>
  <cp:revision>49</cp:revision>
  <dcterms:created xsi:type="dcterms:W3CDTF">2017-02-09T05:23:00Z</dcterms:created>
  <dcterms:modified xsi:type="dcterms:W3CDTF">2017-02-24T20:46:00Z</dcterms:modified>
</cp:coreProperties>
</file>