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2E4334">
        <w:rPr>
          <w:color w:val="5F497A" w:themeColor="accent4" w:themeShade="BF"/>
        </w:rPr>
        <w:t>21</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C46105">
          <w:pPr>
            <w:pStyle w:val="TOC1"/>
            <w:tabs>
              <w:tab w:val="right" w:leader="dot" w:pos="9350"/>
            </w:tabs>
            <w:rPr>
              <w:noProof/>
              <w:lang w:eastAsia="en-US"/>
            </w:rPr>
          </w:pPr>
          <w:r w:rsidRPr="00C46105">
            <w:fldChar w:fldCharType="begin"/>
          </w:r>
          <w:r w:rsidR="001C0DDB">
            <w:instrText xml:space="preserve"> TOC \o "1-3" \h \z \u </w:instrText>
          </w:r>
          <w:r w:rsidRPr="00C46105">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48634F">
              <w:rPr>
                <w:noProof/>
                <w:webHidden/>
              </w:rPr>
              <w:t>2</w:t>
            </w:r>
            <w:r>
              <w:rPr>
                <w:noProof/>
                <w:webHidden/>
              </w:rPr>
              <w:fldChar w:fldCharType="end"/>
            </w:r>
          </w:hyperlink>
        </w:p>
        <w:p w:rsidR="001C0DDB" w:rsidRDefault="00C46105">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48634F">
              <w:rPr>
                <w:noProof/>
                <w:webHidden/>
              </w:rPr>
              <w:t>3</w:t>
            </w:r>
            <w:r>
              <w:rPr>
                <w:noProof/>
                <w:webHidden/>
              </w:rPr>
              <w:fldChar w:fldCharType="end"/>
            </w:r>
          </w:hyperlink>
        </w:p>
        <w:p w:rsidR="001C0DDB" w:rsidRDefault="00C46105">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48634F">
              <w:rPr>
                <w:noProof/>
                <w:webHidden/>
              </w:rPr>
              <w:t>5</w:t>
            </w:r>
            <w:r>
              <w:rPr>
                <w:noProof/>
                <w:webHidden/>
              </w:rPr>
              <w:fldChar w:fldCharType="end"/>
            </w:r>
          </w:hyperlink>
        </w:p>
        <w:p w:rsidR="001C0DDB" w:rsidRDefault="00C46105">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48634F">
              <w:rPr>
                <w:noProof/>
                <w:webHidden/>
              </w:rPr>
              <w:t>6</w:t>
            </w:r>
            <w:r>
              <w:rPr>
                <w:noProof/>
                <w:webHidden/>
              </w:rPr>
              <w:fldChar w:fldCharType="end"/>
            </w:r>
          </w:hyperlink>
        </w:p>
        <w:p w:rsidR="001C0DDB" w:rsidRDefault="00C46105">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48634F">
              <w:rPr>
                <w:noProof/>
                <w:webHidden/>
              </w:rPr>
              <w:t>7</w:t>
            </w:r>
            <w:r>
              <w:rPr>
                <w:noProof/>
                <w:webHidden/>
              </w:rPr>
              <w:fldChar w:fldCharType="end"/>
            </w:r>
          </w:hyperlink>
        </w:p>
        <w:p w:rsidR="001C0DDB" w:rsidRDefault="00C46105">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48634F">
              <w:rPr>
                <w:noProof/>
                <w:webHidden/>
              </w:rPr>
              <w:t>8</w:t>
            </w:r>
            <w:r>
              <w:rPr>
                <w:noProof/>
                <w:webHidden/>
              </w:rPr>
              <w:fldChar w:fldCharType="end"/>
            </w:r>
          </w:hyperlink>
        </w:p>
        <w:p w:rsidR="001C0DDB" w:rsidRDefault="00C46105">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48634F">
              <w:rPr>
                <w:noProof/>
                <w:webHidden/>
              </w:rPr>
              <w:t>9</w:t>
            </w:r>
            <w:r>
              <w:rPr>
                <w:noProof/>
                <w:webHidden/>
              </w:rPr>
              <w:fldChar w:fldCharType="end"/>
            </w:r>
          </w:hyperlink>
        </w:p>
        <w:p w:rsidR="001C0DDB" w:rsidRDefault="00C46105">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2E4334" w:rsidRPr="002E4334" w:rsidRDefault="002E4334" w:rsidP="002E4334">
      <w:pPr>
        <w:pStyle w:val="ListParagraph"/>
        <w:numPr>
          <w:ilvl w:val="0"/>
          <w:numId w:val="16"/>
        </w:numPr>
        <w:spacing w:after="160" w:line="240" w:lineRule="auto"/>
        <w:rPr>
          <w:rFonts w:ascii="Times New Roman" w:hAnsi="Times New Roman"/>
          <w:sz w:val="24"/>
          <w:szCs w:val="24"/>
        </w:rPr>
      </w:pPr>
      <w:r w:rsidRPr="002E4334">
        <w:rPr>
          <w:rFonts w:ascii="Times New Roman" w:hAnsi="Times New Roman"/>
          <w:sz w:val="24"/>
          <w:szCs w:val="24"/>
        </w:rPr>
        <w:t>What are the indicators of successful aging? Which practices, such as coping strategies, may enhance successful aging? What might counselors do to help clients develop and maintain such practices?</w:t>
      </w:r>
    </w:p>
    <w:p w:rsidR="002E4334" w:rsidRPr="002E4334" w:rsidRDefault="002E4334" w:rsidP="002E4334">
      <w:pPr>
        <w:pStyle w:val="ListParagraph"/>
        <w:numPr>
          <w:ilvl w:val="0"/>
          <w:numId w:val="16"/>
        </w:numPr>
        <w:spacing w:after="160" w:line="240" w:lineRule="auto"/>
        <w:rPr>
          <w:rFonts w:ascii="Times New Roman" w:hAnsi="Times New Roman"/>
          <w:sz w:val="24"/>
          <w:szCs w:val="24"/>
        </w:rPr>
      </w:pPr>
      <w:r w:rsidRPr="002E4334">
        <w:rPr>
          <w:rFonts w:ascii="Times New Roman" w:hAnsi="Times New Roman"/>
          <w:sz w:val="24"/>
          <w:szCs w:val="24"/>
        </w:rPr>
        <w:t xml:space="preserve">Explain what is meant by positive aging. What are the counseling interventions for aging adults that incorporate principles of positive aging? Which of these do you think is most relevant for our nation’s aging population? </w:t>
      </w:r>
    </w:p>
    <w:p w:rsidR="002E4334" w:rsidRPr="002E4334" w:rsidRDefault="002E4334" w:rsidP="002E4334">
      <w:pPr>
        <w:pStyle w:val="ListParagraph"/>
        <w:numPr>
          <w:ilvl w:val="0"/>
          <w:numId w:val="16"/>
        </w:numPr>
        <w:spacing w:after="160" w:line="240" w:lineRule="auto"/>
        <w:rPr>
          <w:rFonts w:ascii="Times New Roman" w:hAnsi="Times New Roman"/>
          <w:sz w:val="24"/>
          <w:szCs w:val="24"/>
        </w:rPr>
      </w:pPr>
      <w:r w:rsidRPr="002E4334">
        <w:rPr>
          <w:rFonts w:ascii="Times New Roman" w:hAnsi="Times New Roman"/>
          <w:sz w:val="24"/>
          <w:szCs w:val="24"/>
        </w:rPr>
        <w:t>Describe the preventative approaches involved in positive aging. Which community activities and resources may contribute to positive aging? How might these resources be included in a treatment plan for an aging adult client?</w:t>
      </w:r>
    </w:p>
    <w:p w:rsidR="002E4334" w:rsidRPr="002E4334" w:rsidRDefault="002E4334" w:rsidP="002E4334">
      <w:pPr>
        <w:pStyle w:val="ListParagraph"/>
        <w:numPr>
          <w:ilvl w:val="0"/>
          <w:numId w:val="16"/>
        </w:numPr>
        <w:spacing w:after="160" w:line="240" w:lineRule="auto"/>
        <w:rPr>
          <w:rFonts w:ascii="Times New Roman" w:hAnsi="Times New Roman"/>
          <w:sz w:val="24"/>
          <w:szCs w:val="24"/>
        </w:rPr>
      </w:pPr>
      <w:r w:rsidRPr="002E4334">
        <w:rPr>
          <w:rFonts w:ascii="Times New Roman" w:hAnsi="Times New Roman"/>
          <w:sz w:val="24"/>
          <w:szCs w:val="24"/>
        </w:rPr>
        <w:t xml:space="preserve">Compare and contrast early aging with normal and usual aging. Which groups may be more likely to experience early aging? Why? </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6B5A5F" w:rsidRDefault="006B5A5F" w:rsidP="00B5562D">
      <w:pPr>
        <w:spacing w:after="0" w:line="240" w:lineRule="auto"/>
        <w:contextualSpacing/>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2E4334" w:rsidRPr="002E4334" w:rsidRDefault="002E4334" w:rsidP="002E4334">
      <w:pPr>
        <w:spacing w:after="0" w:line="240" w:lineRule="auto"/>
        <w:rPr>
          <w:rFonts w:ascii="Times New Roman" w:hAnsi="Times New Roman"/>
          <w:sz w:val="24"/>
          <w:szCs w:val="24"/>
        </w:rPr>
      </w:pPr>
      <w:r w:rsidRPr="002E4334">
        <w:rPr>
          <w:rFonts w:ascii="Times New Roman" w:hAnsi="Times New Roman"/>
          <w:sz w:val="24"/>
          <w:szCs w:val="24"/>
        </w:rPr>
        <w:t xml:space="preserve">CASE EXAMPLE </w:t>
      </w:r>
    </w:p>
    <w:p w:rsidR="002E4334" w:rsidRPr="002E4334" w:rsidRDefault="002E4334" w:rsidP="002E4334">
      <w:pPr>
        <w:spacing w:after="0" w:line="240" w:lineRule="auto"/>
        <w:ind w:firstLine="720"/>
        <w:rPr>
          <w:rFonts w:ascii="Times New Roman" w:hAnsi="Times New Roman"/>
          <w:sz w:val="24"/>
          <w:szCs w:val="24"/>
        </w:rPr>
      </w:pPr>
      <w:r w:rsidRPr="002E4334">
        <w:rPr>
          <w:rFonts w:ascii="Times New Roman" w:hAnsi="Times New Roman"/>
          <w:sz w:val="24"/>
          <w:szCs w:val="24"/>
        </w:rPr>
        <w:t>Steve is a 75-year-old Vietnam veteran. He lives in northeastern Nevada with a stepdaughter. For most of his life, Steve has viewed himself as very independent and has managed to keep a roof over his head in spite of multiple challenging personal situations. As of late, however, Steve has started to experience problems with his health. He has a 55-year cigarette smoking habit, but Steve feels that it would be too difficult to kick the habit. Recently, Steve began having trouble with his vision. His problems have worsened to the point where he cannot drive. Since he lives over 2 hours from Elko, his stepdaughter drove him into town. He met with an optometrist who told Steve that he was suffering from age-related macular degeneration (</w:t>
      </w:r>
      <w:proofErr w:type="spellStart"/>
      <w:r w:rsidRPr="002E4334">
        <w:rPr>
          <w:rFonts w:ascii="Times New Roman" w:hAnsi="Times New Roman"/>
          <w:sz w:val="24"/>
          <w:szCs w:val="24"/>
        </w:rPr>
        <w:t>Tolman</w:t>
      </w:r>
      <w:proofErr w:type="spellEnd"/>
      <w:r w:rsidRPr="002E4334">
        <w:rPr>
          <w:rFonts w:ascii="Times New Roman" w:hAnsi="Times New Roman"/>
          <w:sz w:val="24"/>
          <w:szCs w:val="24"/>
        </w:rPr>
        <w:t xml:space="preserve">, Hill, </w:t>
      </w:r>
      <w:proofErr w:type="spellStart"/>
      <w:r w:rsidRPr="002E4334">
        <w:rPr>
          <w:rFonts w:ascii="Times New Roman" w:hAnsi="Times New Roman"/>
          <w:sz w:val="24"/>
          <w:szCs w:val="24"/>
        </w:rPr>
        <w:t>Kleinschmidt</w:t>
      </w:r>
      <w:proofErr w:type="spellEnd"/>
      <w:r w:rsidRPr="002E4334">
        <w:rPr>
          <w:rFonts w:ascii="Times New Roman" w:hAnsi="Times New Roman"/>
          <w:sz w:val="24"/>
          <w:szCs w:val="24"/>
        </w:rPr>
        <w:t>, &amp; Gregg, 2005) and that Steve would be blind (or nearly blind) before the end of the year. Steve is unable to drive; his stepdaughter is only intermittently helpful. Steve was substantially discouraged when he got the diagnosis and thought that the best way to deal with this was to simply stop living. He stopped eating; he began smoking at a higher rate; and he has stopped calling family and friends. His idea is that “life is no longer worth living if you are blind and have to depend on others.” His conclusion is to simply stop living and let death take over.</w:t>
      </w:r>
    </w:p>
    <w:p w:rsidR="002E4334" w:rsidRPr="002E4334" w:rsidRDefault="002E4334" w:rsidP="002E4334">
      <w:pPr>
        <w:spacing w:after="0" w:line="240" w:lineRule="auto"/>
        <w:rPr>
          <w:rFonts w:ascii="Times New Roman" w:hAnsi="Times New Roman"/>
          <w:sz w:val="24"/>
          <w:szCs w:val="24"/>
        </w:rPr>
      </w:pPr>
    </w:p>
    <w:p w:rsidR="002E4334" w:rsidRPr="002E4334" w:rsidRDefault="002E4334" w:rsidP="002E4334">
      <w:pPr>
        <w:spacing w:after="0" w:line="240" w:lineRule="auto"/>
        <w:rPr>
          <w:rFonts w:ascii="Times New Roman" w:hAnsi="Times New Roman"/>
          <w:i/>
          <w:sz w:val="24"/>
          <w:szCs w:val="24"/>
        </w:rPr>
      </w:pPr>
      <w:r w:rsidRPr="002E4334">
        <w:rPr>
          <w:rFonts w:ascii="Times New Roman" w:hAnsi="Times New Roman"/>
          <w:i/>
          <w:sz w:val="24"/>
          <w:szCs w:val="24"/>
        </w:rPr>
        <w:t>Analysis of Issue</w:t>
      </w:r>
    </w:p>
    <w:p w:rsidR="002E4334" w:rsidRPr="002E4334" w:rsidRDefault="002E4334" w:rsidP="002E4334">
      <w:pPr>
        <w:spacing w:after="0" w:line="240" w:lineRule="auto"/>
        <w:ind w:firstLine="720"/>
        <w:rPr>
          <w:rFonts w:ascii="Times New Roman" w:hAnsi="Times New Roman"/>
          <w:sz w:val="24"/>
          <w:szCs w:val="24"/>
        </w:rPr>
      </w:pPr>
      <w:r w:rsidRPr="002E4334">
        <w:rPr>
          <w:rFonts w:ascii="Times New Roman" w:hAnsi="Times New Roman"/>
          <w:sz w:val="24"/>
          <w:szCs w:val="24"/>
        </w:rPr>
        <w:t>Steve has taken a very negative view of his aging process and feels that he is not worthwhile because he can no longer live as independently as he is used to living. His focus is narrow, and he has allowed his change in health status and his progressive vision impairment to define his sense of worthlessness. He can’t change his declining vision status, but he can still find meaning in life and is likely still important to others around him, including his stepdaughter. Steve needs to find new sources of meaning that will allow him to regain life satisfaction even though his daily routines might need to change as he finds himself less and less able to be independent in the presence of his declining vision.</w:t>
      </w:r>
    </w:p>
    <w:p w:rsidR="002E4334" w:rsidRPr="002E4334" w:rsidRDefault="002E4334" w:rsidP="002E4334">
      <w:pPr>
        <w:spacing w:after="0" w:line="240" w:lineRule="auto"/>
        <w:rPr>
          <w:rFonts w:ascii="Times New Roman" w:hAnsi="Times New Roman"/>
          <w:sz w:val="24"/>
          <w:szCs w:val="24"/>
        </w:rPr>
      </w:pPr>
    </w:p>
    <w:p w:rsidR="002E4334" w:rsidRPr="002E4334" w:rsidRDefault="002E4334" w:rsidP="002E4334">
      <w:pPr>
        <w:spacing w:after="0" w:line="240" w:lineRule="auto"/>
        <w:rPr>
          <w:rFonts w:ascii="Times New Roman" w:hAnsi="Times New Roman"/>
          <w:i/>
          <w:sz w:val="24"/>
          <w:szCs w:val="24"/>
        </w:rPr>
      </w:pPr>
      <w:r w:rsidRPr="002E4334">
        <w:rPr>
          <w:rFonts w:ascii="Times New Roman" w:hAnsi="Times New Roman"/>
          <w:i/>
          <w:sz w:val="24"/>
          <w:szCs w:val="24"/>
        </w:rPr>
        <w:t>Assessment</w:t>
      </w:r>
    </w:p>
    <w:p w:rsidR="002E4334" w:rsidRPr="002E4334" w:rsidRDefault="002E4334" w:rsidP="002E4334">
      <w:pPr>
        <w:spacing w:after="0" w:line="240" w:lineRule="auto"/>
        <w:ind w:firstLine="720"/>
        <w:rPr>
          <w:rFonts w:ascii="Times New Roman" w:hAnsi="Times New Roman"/>
          <w:sz w:val="24"/>
          <w:szCs w:val="24"/>
        </w:rPr>
      </w:pPr>
      <w:r w:rsidRPr="002E4334">
        <w:rPr>
          <w:rFonts w:ascii="Times New Roman" w:hAnsi="Times New Roman"/>
          <w:sz w:val="24"/>
          <w:szCs w:val="24"/>
        </w:rPr>
        <w:t xml:space="preserve">Steve needs to identify other sources of meaning, or even sources of meaning that he no longer thought were present. A first step would be to assess potential strengths that are still present and to begin focusing on those strengths. An initial assessment of those strengths might be identified through the Meaning in Life Scale, which assesses two dimensions of meaning in life using 10 items rated on a 7-point scale from “Absolutely True” to “Absolutely Untrue” (Steger, Frazier, </w:t>
      </w:r>
      <w:proofErr w:type="spellStart"/>
      <w:r w:rsidRPr="002E4334">
        <w:rPr>
          <w:rFonts w:ascii="Times New Roman" w:hAnsi="Times New Roman"/>
          <w:sz w:val="24"/>
          <w:szCs w:val="24"/>
        </w:rPr>
        <w:t>Oishi</w:t>
      </w:r>
      <w:proofErr w:type="spellEnd"/>
      <w:r w:rsidRPr="002E4334">
        <w:rPr>
          <w:rFonts w:ascii="Times New Roman" w:hAnsi="Times New Roman"/>
          <w:sz w:val="24"/>
          <w:szCs w:val="24"/>
        </w:rPr>
        <w:t xml:space="preserve">, &amp; </w:t>
      </w:r>
      <w:proofErr w:type="spellStart"/>
      <w:r w:rsidRPr="002E4334">
        <w:rPr>
          <w:rFonts w:ascii="Times New Roman" w:hAnsi="Times New Roman"/>
          <w:sz w:val="24"/>
          <w:szCs w:val="24"/>
        </w:rPr>
        <w:t>Kaler</w:t>
      </w:r>
      <w:proofErr w:type="spellEnd"/>
      <w:r w:rsidRPr="002E4334">
        <w:rPr>
          <w:rFonts w:ascii="Times New Roman" w:hAnsi="Times New Roman"/>
          <w:sz w:val="24"/>
          <w:szCs w:val="24"/>
        </w:rPr>
        <w:t>, 2006, reproduces the Meaning in Life Scale in the article appendix). The Presence of Meaning subscale measures how fully an individual feels that he or she has meaning. The Search for Meaning subscale measures how engaged and motivated a person is in finding personal meaning or understanding the role of meaning in his or her life. Search is positively related to the seeking of meaning through various resources such as religion, helping others, or finding ways to volunteer. This scale is negatively related with present rumination and present-fatalistic time perspectives such as a newly discovered chronic health condition. Presence relates positively to strategies that can enhance personal and altruistic and spiritual behaviors.</w:t>
      </w:r>
    </w:p>
    <w:p w:rsidR="002E4334" w:rsidRPr="002E4334" w:rsidRDefault="002E4334" w:rsidP="002E4334">
      <w:pPr>
        <w:spacing w:after="0" w:line="240" w:lineRule="auto"/>
        <w:rPr>
          <w:rFonts w:ascii="Times New Roman" w:hAnsi="Times New Roman"/>
          <w:sz w:val="24"/>
          <w:szCs w:val="24"/>
        </w:rPr>
      </w:pPr>
    </w:p>
    <w:p w:rsidR="002E4334" w:rsidRPr="002E4334" w:rsidRDefault="002E4334" w:rsidP="002E4334">
      <w:pPr>
        <w:spacing w:after="0" w:line="240" w:lineRule="auto"/>
        <w:rPr>
          <w:rFonts w:ascii="Times New Roman" w:hAnsi="Times New Roman"/>
          <w:i/>
          <w:sz w:val="24"/>
          <w:szCs w:val="24"/>
        </w:rPr>
      </w:pPr>
      <w:r w:rsidRPr="002E4334">
        <w:rPr>
          <w:rFonts w:ascii="Times New Roman" w:hAnsi="Times New Roman"/>
          <w:i/>
          <w:sz w:val="24"/>
          <w:szCs w:val="24"/>
        </w:rPr>
        <w:t>Intervention</w:t>
      </w:r>
    </w:p>
    <w:p w:rsidR="002E4334" w:rsidRPr="002E4334" w:rsidRDefault="002E4334" w:rsidP="002E4334">
      <w:pPr>
        <w:spacing w:after="0" w:line="240" w:lineRule="auto"/>
        <w:ind w:firstLine="720"/>
        <w:rPr>
          <w:rFonts w:ascii="Times New Roman" w:hAnsi="Times New Roman"/>
          <w:sz w:val="24"/>
          <w:szCs w:val="24"/>
        </w:rPr>
      </w:pPr>
      <w:r w:rsidRPr="002E4334">
        <w:rPr>
          <w:rFonts w:ascii="Times New Roman" w:hAnsi="Times New Roman"/>
          <w:sz w:val="24"/>
          <w:szCs w:val="24"/>
        </w:rPr>
        <w:t xml:space="preserve">Steve could be engaged with a counselor either through telephone or through several in-person visits. The goal of the intervention would be to identify sources of meaning that could </w:t>
      </w:r>
      <w:r w:rsidRPr="002E4334">
        <w:rPr>
          <w:rFonts w:ascii="Times New Roman" w:hAnsi="Times New Roman"/>
          <w:sz w:val="24"/>
          <w:szCs w:val="24"/>
        </w:rPr>
        <w:lastRenderedPageBreak/>
        <w:t>compensate for Steve’s tendency to engage in maladaptive behaviors such as increased cigarette smoking and failure to thrive through not eating and personal isolation. A beginning step might be to help Steve identify sources of gratitude—that is, what features of his life and world are worth being grateful for. He continues to have family who cares about him. Although his vision will be declining further, he is still able to ambulate and can still enjoy activities such as listening to the radio and staying involved with others. Such a gratitude intervention could help Steve identify his existing strengths and provide new reasons for wanting to live. It could also allow him to identify reasons for rediscovering sources of life satisfactions. Altruism could play a role in aiding many people like Steve, who are struggling with this issue.</w:t>
      </w:r>
    </w:p>
    <w:p w:rsidR="002E4334" w:rsidRPr="002E4334" w:rsidRDefault="002E4334" w:rsidP="002E4334">
      <w:pPr>
        <w:spacing w:after="0" w:line="240" w:lineRule="auto"/>
        <w:rPr>
          <w:rFonts w:ascii="Times New Roman" w:hAnsi="Times New Roman"/>
          <w:sz w:val="24"/>
          <w:szCs w:val="24"/>
        </w:rPr>
      </w:pPr>
      <w:r w:rsidRPr="002E4334">
        <w:rPr>
          <w:rFonts w:ascii="Times New Roman" w:hAnsi="Times New Roman"/>
          <w:sz w:val="24"/>
          <w:szCs w:val="24"/>
        </w:rPr>
        <w:t>Perhaps Steve could find a renewed purpose for living by helping others like himself who are in need. In fact, it is quite possible that his efforts to find renewed life meaning could be a source of strength and hope to others as he becomes an example of someone who is older but who finds a way to cope with an age-related challenge and find life satisfaction in the process. These kinds of strategies could reengage Steve’s sense of control over his world and help Steve to identify ways that life could still be worth living even though he will ultimately need to make adjustments as he becomes less able to use his visual abilities to negotiate his day-to-day living situation. It could even be suggested that Steve himself, given his increasing impairment, might be an instrument to assist others in developing helping behaviors by working with Steve to assist him with his issues. In the past, Steve has relied on himself; by letting others help him, Steve could become a source of satisfaction and altruistic development for a younger generation who desires to help others but does not have an active way to practice or engage in helping behaviors. Steve could be the agent for other people to learn how to become better helpers.</w:t>
      </w:r>
    </w:p>
    <w:p w:rsidR="002E4334" w:rsidRPr="002E4334" w:rsidRDefault="002E4334" w:rsidP="002E4334">
      <w:pPr>
        <w:spacing w:after="0" w:line="240" w:lineRule="auto"/>
        <w:rPr>
          <w:rFonts w:ascii="Times New Roman" w:hAnsi="Times New Roman"/>
          <w:sz w:val="24"/>
          <w:szCs w:val="24"/>
        </w:rPr>
      </w:pPr>
    </w:p>
    <w:p w:rsidR="002E4334" w:rsidRPr="002E4334" w:rsidRDefault="002E4334" w:rsidP="002E4334">
      <w:pPr>
        <w:spacing w:after="0" w:line="240" w:lineRule="auto"/>
        <w:rPr>
          <w:rFonts w:ascii="Times New Roman" w:hAnsi="Times New Roman"/>
          <w:sz w:val="24"/>
          <w:szCs w:val="24"/>
        </w:rPr>
      </w:pPr>
    </w:p>
    <w:p w:rsidR="002E4334" w:rsidRPr="002E4334" w:rsidRDefault="002E4334" w:rsidP="002E4334">
      <w:pPr>
        <w:spacing w:after="0" w:line="240" w:lineRule="auto"/>
        <w:rPr>
          <w:rFonts w:ascii="Times New Roman" w:hAnsi="Times New Roman"/>
          <w:sz w:val="24"/>
          <w:szCs w:val="24"/>
        </w:rPr>
      </w:pPr>
      <w:r w:rsidRPr="002E4334">
        <w:rPr>
          <w:rFonts w:ascii="Times New Roman" w:hAnsi="Times New Roman"/>
          <w:sz w:val="24"/>
          <w:szCs w:val="24"/>
        </w:rPr>
        <w:t xml:space="preserve">DISCUSSION QUESTIONS </w:t>
      </w:r>
      <w:bookmarkStart w:id="2" w:name="_GoBack"/>
      <w:bookmarkEnd w:id="2"/>
    </w:p>
    <w:p w:rsidR="002E4334" w:rsidRPr="002E4334" w:rsidRDefault="002E4334" w:rsidP="002E4334">
      <w:pPr>
        <w:pStyle w:val="ListParagraph"/>
        <w:numPr>
          <w:ilvl w:val="0"/>
          <w:numId w:val="17"/>
        </w:numPr>
        <w:spacing w:after="0" w:line="240" w:lineRule="auto"/>
        <w:rPr>
          <w:rFonts w:ascii="Times New Roman" w:hAnsi="Times New Roman"/>
          <w:sz w:val="24"/>
          <w:szCs w:val="24"/>
        </w:rPr>
      </w:pPr>
      <w:r w:rsidRPr="002E4334">
        <w:rPr>
          <w:rFonts w:ascii="Times New Roman" w:hAnsi="Times New Roman"/>
          <w:sz w:val="24"/>
          <w:szCs w:val="24"/>
        </w:rPr>
        <w:t>How can a positive aging model of health care be adapted for strength-based counseling interventions with older persons?</w:t>
      </w:r>
    </w:p>
    <w:p w:rsidR="002E4334" w:rsidRPr="002E4334" w:rsidRDefault="002E4334" w:rsidP="002E4334">
      <w:pPr>
        <w:pStyle w:val="ListParagraph"/>
        <w:numPr>
          <w:ilvl w:val="0"/>
          <w:numId w:val="17"/>
        </w:numPr>
        <w:spacing w:after="0" w:line="240" w:lineRule="auto"/>
        <w:rPr>
          <w:rFonts w:ascii="Times New Roman" w:hAnsi="Times New Roman"/>
          <w:sz w:val="24"/>
          <w:szCs w:val="24"/>
        </w:rPr>
      </w:pPr>
      <w:r w:rsidRPr="002E4334">
        <w:rPr>
          <w:rFonts w:ascii="Times New Roman" w:hAnsi="Times New Roman"/>
          <w:sz w:val="24"/>
          <w:szCs w:val="24"/>
        </w:rPr>
        <w:t>What are the unique needs facing older persons who are from historically marginalized groups (e.g., older women, older persons from ethnic minority groups, older persons with lifelong disabilities)?</w:t>
      </w:r>
    </w:p>
    <w:p w:rsidR="002E4334" w:rsidRPr="002E4334" w:rsidRDefault="002E4334" w:rsidP="002E4334">
      <w:pPr>
        <w:pStyle w:val="ListParagraph"/>
        <w:numPr>
          <w:ilvl w:val="0"/>
          <w:numId w:val="17"/>
        </w:numPr>
        <w:spacing w:after="0" w:line="240" w:lineRule="auto"/>
        <w:rPr>
          <w:rFonts w:ascii="Times New Roman" w:hAnsi="Times New Roman"/>
          <w:sz w:val="24"/>
          <w:szCs w:val="24"/>
        </w:rPr>
      </w:pPr>
      <w:r w:rsidRPr="002E4334">
        <w:rPr>
          <w:rFonts w:ascii="Times New Roman" w:hAnsi="Times New Roman"/>
          <w:sz w:val="24"/>
          <w:szCs w:val="24"/>
        </w:rPr>
        <w:t>What kinds of positive aging counseling approaches would be effective for older adults with cognitive impairments?</w:t>
      </w:r>
    </w:p>
    <w:p w:rsidR="002E4334" w:rsidRPr="002E4334" w:rsidRDefault="002E4334" w:rsidP="002E4334">
      <w:pPr>
        <w:pStyle w:val="ListParagraph"/>
        <w:numPr>
          <w:ilvl w:val="0"/>
          <w:numId w:val="17"/>
        </w:numPr>
        <w:spacing w:after="0" w:line="240" w:lineRule="auto"/>
        <w:rPr>
          <w:rFonts w:ascii="Times New Roman" w:hAnsi="Times New Roman"/>
          <w:sz w:val="24"/>
          <w:szCs w:val="24"/>
        </w:rPr>
      </w:pPr>
      <w:r w:rsidRPr="002E4334">
        <w:rPr>
          <w:rFonts w:ascii="Times New Roman" w:hAnsi="Times New Roman"/>
          <w:sz w:val="24"/>
          <w:szCs w:val="24"/>
        </w:rPr>
        <w:t>What role could a positive aging model play in addressing the needs of a patient with Alzheimer’s disease?</w:t>
      </w:r>
    </w:p>
    <w:p w:rsidR="002E4334" w:rsidRPr="002E4334" w:rsidRDefault="002E4334" w:rsidP="002E4334">
      <w:pPr>
        <w:pStyle w:val="ListParagraph"/>
        <w:numPr>
          <w:ilvl w:val="0"/>
          <w:numId w:val="17"/>
        </w:numPr>
        <w:spacing w:after="0" w:line="240" w:lineRule="auto"/>
        <w:rPr>
          <w:rFonts w:ascii="Times New Roman" w:hAnsi="Times New Roman"/>
          <w:sz w:val="24"/>
          <w:szCs w:val="24"/>
        </w:rPr>
      </w:pPr>
      <w:r w:rsidRPr="002E4334">
        <w:rPr>
          <w:rFonts w:ascii="Times New Roman" w:hAnsi="Times New Roman"/>
          <w:sz w:val="24"/>
          <w:szCs w:val="24"/>
        </w:rPr>
        <w:t>How can the SOC model of adaptation be applied to promote healthy lifestyle prevention strategies in older persons?</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105537"/>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2E4334" w:rsidRPr="002E4334" w:rsidRDefault="002E4334" w:rsidP="002E4334">
      <w:pPr>
        <w:pStyle w:val="ListParagraph"/>
        <w:numPr>
          <w:ilvl w:val="0"/>
          <w:numId w:val="18"/>
        </w:numPr>
        <w:rPr>
          <w:rFonts w:ascii="Times New Roman" w:hAnsi="Times New Roman"/>
          <w:sz w:val="24"/>
          <w:szCs w:val="24"/>
        </w:rPr>
      </w:pPr>
      <w:r w:rsidRPr="002E4334">
        <w:rPr>
          <w:rFonts w:ascii="Times New Roman" w:hAnsi="Times New Roman"/>
          <w:sz w:val="24"/>
          <w:szCs w:val="24"/>
        </w:rPr>
        <w:t>Goal:  To increase recognition of the characteristics of successful and positive aging.</w:t>
      </w:r>
    </w:p>
    <w:p w:rsidR="002E4334" w:rsidRPr="002E4334" w:rsidRDefault="002E4334" w:rsidP="002E4334">
      <w:pPr>
        <w:pStyle w:val="ListParagraph"/>
        <w:numPr>
          <w:ilvl w:val="1"/>
          <w:numId w:val="18"/>
        </w:numPr>
        <w:rPr>
          <w:rFonts w:ascii="Times New Roman" w:hAnsi="Times New Roman"/>
          <w:sz w:val="24"/>
          <w:szCs w:val="24"/>
        </w:rPr>
      </w:pPr>
      <w:r w:rsidRPr="002E4334">
        <w:rPr>
          <w:rFonts w:ascii="Times New Roman" w:hAnsi="Times New Roman"/>
          <w:sz w:val="24"/>
          <w:szCs w:val="24"/>
        </w:rPr>
        <w:t xml:space="preserve">Review a variety of popular culture portrayals of older adults, such as television shows (“The Golden Girls,” “Everybody Loves Raymond,” “The King of Queens” – as a side note, there are very few contemporary [2010 or later] shows that feature older adults); movies (“Calendar Girls,” “Cocoon,” “Something’s </w:t>
      </w:r>
      <w:proofErr w:type="spellStart"/>
      <w:r w:rsidRPr="002E4334">
        <w:rPr>
          <w:rFonts w:ascii="Times New Roman" w:hAnsi="Times New Roman"/>
          <w:sz w:val="24"/>
          <w:szCs w:val="24"/>
        </w:rPr>
        <w:t>Gotta</w:t>
      </w:r>
      <w:proofErr w:type="spellEnd"/>
      <w:r w:rsidRPr="002E4334">
        <w:rPr>
          <w:rFonts w:ascii="Times New Roman" w:hAnsi="Times New Roman"/>
          <w:sz w:val="24"/>
          <w:szCs w:val="24"/>
        </w:rPr>
        <w:t xml:space="preserve"> Give”) or books.</w:t>
      </w:r>
    </w:p>
    <w:p w:rsidR="002E4334" w:rsidRPr="002E4334" w:rsidRDefault="002E4334" w:rsidP="002E4334">
      <w:pPr>
        <w:pStyle w:val="ListParagraph"/>
        <w:numPr>
          <w:ilvl w:val="1"/>
          <w:numId w:val="18"/>
        </w:numPr>
        <w:rPr>
          <w:rFonts w:ascii="Times New Roman" w:hAnsi="Times New Roman"/>
          <w:sz w:val="24"/>
          <w:szCs w:val="24"/>
        </w:rPr>
      </w:pPr>
      <w:r w:rsidRPr="002E4334">
        <w:rPr>
          <w:rFonts w:ascii="Times New Roman" w:hAnsi="Times New Roman"/>
          <w:sz w:val="24"/>
          <w:szCs w:val="24"/>
        </w:rPr>
        <w:t>Identify the characteristics that are used to portray older adults as healthy or happy – Do these reflect successful aging, positive aging, or both?</w:t>
      </w:r>
    </w:p>
    <w:p w:rsidR="002E4334" w:rsidRPr="002E4334" w:rsidRDefault="002E4334" w:rsidP="002E4334">
      <w:pPr>
        <w:pStyle w:val="ListParagraph"/>
        <w:ind w:left="1440"/>
        <w:rPr>
          <w:rFonts w:ascii="Times New Roman" w:hAnsi="Times New Roman"/>
          <w:sz w:val="24"/>
          <w:szCs w:val="24"/>
        </w:rPr>
      </w:pPr>
    </w:p>
    <w:p w:rsidR="002E4334" w:rsidRPr="002E4334" w:rsidRDefault="002E4334" w:rsidP="002E4334">
      <w:pPr>
        <w:pStyle w:val="ListParagraph"/>
        <w:numPr>
          <w:ilvl w:val="0"/>
          <w:numId w:val="18"/>
        </w:numPr>
        <w:rPr>
          <w:rFonts w:ascii="Times New Roman" w:hAnsi="Times New Roman"/>
          <w:sz w:val="24"/>
          <w:szCs w:val="24"/>
        </w:rPr>
      </w:pPr>
      <w:r w:rsidRPr="002E4334">
        <w:rPr>
          <w:rFonts w:ascii="Times New Roman" w:hAnsi="Times New Roman"/>
          <w:sz w:val="24"/>
          <w:szCs w:val="24"/>
        </w:rPr>
        <w:t>Goal:   To recognize your own assumptions or biases about older adults.</w:t>
      </w:r>
    </w:p>
    <w:p w:rsidR="002E4334" w:rsidRPr="002E4334" w:rsidRDefault="002E4334" w:rsidP="002E4334">
      <w:pPr>
        <w:pStyle w:val="ListParagraph"/>
        <w:numPr>
          <w:ilvl w:val="1"/>
          <w:numId w:val="18"/>
        </w:numPr>
        <w:rPr>
          <w:rFonts w:ascii="Times New Roman" w:hAnsi="Times New Roman"/>
          <w:sz w:val="24"/>
          <w:szCs w:val="24"/>
        </w:rPr>
      </w:pPr>
      <w:r w:rsidRPr="002E4334">
        <w:rPr>
          <w:rFonts w:ascii="Times New Roman" w:hAnsi="Times New Roman"/>
          <w:sz w:val="24"/>
          <w:szCs w:val="24"/>
        </w:rPr>
        <w:t>Complete the Implicit Apperception Test (IAT) for aging (available free of charge at Project Implicit, https://implicit.harvard.edu/implicit/takeatest.html</w:t>
      </w:r>
      <w:proofErr w:type="gramStart"/>
      <w:r w:rsidRPr="002E4334">
        <w:rPr>
          <w:rFonts w:ascii="Times New Roman" w:hAnsi="Times New Roman"/>
          <w:sz w:val="24"/>
          <w:szCs w:val="24"/>
        </w:rPr>
        <w:t>) .</w:t>
      </w:r>
      <w:proofErr w:type="gramEnd"/>
      <w:r w:rsidRPr="002E4334">
        <w:rPr>
          <w:rFonts w:ascii="Times New Roman" w:hAnsi="Times New Roman"/>
          <w:sz w:val="24"/>
          <w:szCs w:val="24"/>
        </w:rPr>
        <w:t xml:space="preserve"> </w:t>
      </w:r>
    </w:p>
    <w:p w:rsidR="002E4334" w:rsidRPr="002E4334" w:rsidRDefault="002E4334" w:rsidP="002E4334">
      <w:pPr>
        <w:pStyle w:val="ListParagraph"/>
        <w:numPr>
          <w:ilvl w:val="1"/>
          <w:numId w:val="18"/>
        </w:numPr>
        <w:rPr>
          <w:rFonts w:ascii="Times New Roman" w:hAnsi="Times New Roman"/>
          <w:sz w:val="24"/>
          <w:szCs w:val="24"/>
        </w:rPr>
      </w:pPr>
      <w:r w:rsidRPr="002E4334">
        <w:rPr>
          <w:rFonts w:ascii="Times New Roman" w:hAnsi="Times New Roman"/>
          <w:sz w:val="24"/>
          <w:szCs w:val="24"/>
        </w:rPr>
        <w:t xml:space="preserve">Analyze your results and reflect on ways in which they are consistent and inconsistent with a positive perspective on aging. </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2E4334" w:rsidRPr="002E4334" w:rsidRDefault="002E4334" w:rsidP="002E4334">
      <w:pPr>
        <w:pStyle w:val="ListParagraph"/>
        <w:numPr>
          <w:ilvl w:val="0"/>
          <w:numId w:val="19"/>
        </w:numPr>
        <w:rPr>
          <w:rFonts w:ascii="Times New Roman" w:hAnsi="Times New Roman"/>
          <w:sz w:val="24"/>
          <w:szCs w:val="24"/>
        </w:rPr>
      </w:pPr>
      <w:r w:rsidRPr="002E4334">
        <w:rPr>
          <w:rFonts w:ascii="Times New Roman" w:hAnsi="Times New Roman"/>
          <w:sz w:val="24"/>
          <w:szCs w:val="24"/>
        </w:rPr>
        <w:t xml:space="preserve">Goal: To increase student understanding of </w:t>
      </w:r>
      <w:proofErr w:type="spellStart"/>
      <w:r w:rsidRPr="002E4334">
        <w:rPr>
          <w:rFonts w:ascii="Times New Roman" w:hAnsi="Times New Roman"/>
          <w:sz w:val="24"/>
          <w:szCs w:val="24"/>
        </w:rPr>
        <w:t>intersectionality</w:t>
      </w:r>
      <w:proofErr w:type="spellEnd"/>
      <w:r w:rsidRPr="002E4334">
        <w:rPr>
          <w:rFonts w:ascii="Times New Roman" w:hAnsi="Times New Roman"/>
          <w:sz w:val="24"/>
          <w:szCs w:val="24"/>
        </w:rPr>
        <w:t xml:space="preserve"> of identities among older adults.</w:t>
      </w:r>
    </w:p>
    <w:p w:rsidR="002E4334" w:rsidRPr="002E4334" w:rsidRDefault="002E4334" w:rsidP="002E4334">
      <w:pPr>
        <w:pStyle w:val="ListParagraph"/>
        <w:numPr>
          <w:ilvl w:val="1"/>
          <w:numId w:val="19"/>
        </w:numPr>
        <w:rPr>
          <w:rFonts w:ascii="Times New Roman" w:hAnsi="Times New Roman"/>
          <w:sz w:val="24"/>
          <w:szCs w:val="24"/>
        </w:rPr>
      </w:pPr>
      <w:r w:rsidRPr="002E4334">
        <w:rPr>
          <w:rFonts w:ascii="Times New Roman" w:hAnsi="Times New Roman"/>
          <w:sz w:val="24"/>
          <w:szCs w:val="24"/>
        </w:rPr>
        <w:t>Assess the impact of social identities (including gender, race, ethnicity, sexual orientation, religious affiliation, ability status, and social class) on the four characteristics of a positive ager: ability to mobilize potentialities, flexibility, affirming decision-making style, and optimistic viewpoint.</w:t>
      </w:r>
    </w:p>
    <w:p w:rsidR="002E4334" w:rsidRPr="002E4334" w:rsidRDefault="002E4334" w:rsidP="002E4334">
      <w:pPr>
        <w:pStyle w:val="ListParagraph"/>
        <w:numPr>
          <w:ilvl w:val="0"/>
          <w:numId w:val="19"/>
        </w:numPr>
        <w:rPr>
          <w:rFonts w:ascii="Times New Roman" w:hAnsi="Times New Roman"/>
          <w:sz w:val="24"/>
          <w:szCs w:val="24"/>
        </w:rPr>
      </w:pPr>
      <w:r w:rsidRPr="002E4334">
        <w:rPr>
          <w:rFonts w:ascii="Times New Roman" w:hAnsi="Times New Roman"/>
          <w:sz w:val="24"/>
          <w:szCs w:val="24"/>
        </w:rPr>
        <w:t>Goal:  To consider the relevance of the continuum of care to working with older adults from a positive aging framework.</w:t>
      </w:r>
    </w:p>
    <w:p w:rsidR="002E4334" w:rsidRPr="002E4334" w:rsidRDefault="002E4334" w:rsidP="002E4334">
      <w:pPr>
        <w:pStyle w:val="ListParagraph"/>
        <w:numPr>
          <w:ilvl w:val="1"/>
          <w:numId w:val="19"/>
        </w:numPr>
        <w:rPr>
          <w:rFonts w:ascii="Times New Roman" w:hAnsi="Times New Roman"/>
          <w:sz w:val="24"/>
          <w:szCs w:val="24"/>
        </w:rPr>
      </w:pPr>
      <w:r w:rsidRPr="002E4334">
        <w:rPr>
          <w:rFonts w:ascii="Times New Roman" w:hAnsi="Times New Roman"/>
          <w:sz w:val="24"/>
          <w:szCs w:val="24"/>
        </w:rPr>
        <w:t>Identify strategies or interventions that can be used with older adults to promote positive aging at the following states of care:  health promotion, prevention, treatment and maintenance.</w:t>
      </w:r>
    </w:p>
    <w:p w:rsidR="002E4334" w:rsidRPr="002E4334" w:rsidRDefault="002E4334" w:rsidP="002E4334">
      <w:pPr>
        <w:pStyle w:val="ListParagraph"/>
        <w:numPr>
          <w:ilvl w:val="1"/>
          <w:numId w:val="19"/>
        </w:numPr>
        <w:rPr>
          <w:rFonts w:ascii="Times New Roman" w:hAnsi="Times New Roman"/>
          <w:sz w:val="24"/>
          <w:szCs w:val="24"/>
        </w:rPr>
      </w:pPr>
      <w:r w:rsidRPr="002E4334">
        <w:rPr>
          <w:rFonts w:ascii="Times New Roman" w:hAnsi="Times New Roman"/>
          <w:sz w:val="24"/>
          <w:szCs w:val="24"/>
        </w:rPr>
        <w:t xml:space="preserve">Help students identify ways in which their assumptions or biases about health among older adults might influence the ways in which they think about the continuum. </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B5562D" w:rsidRDefault="00B5562D"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2E4334" w:rsidRPr="002E4334" w:rsidRDefault="002E4334" w:rsidP="002E4334">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2E4334">
        <w:rPr>
          <w:rFonts w:ascii="Times New Roman" w:eastAsia="Times New Roman" w:hAnsi="Times New Roman"/>
          <w:bCs/>
          <w:i/>
          <w:color w:val="808080" w:themeColor="background1" w:themeShade="80"/>
          <w:sz w:val="24"/>
          <w:szCs w:val="24"/>
        </w:rPr>
        <w:t>Video Clips</w:t>
      </w:r>
    </w:p>
    <w:p w:rsidR="002E4334" w:rsidRPr="006F3EDA" w:rsidRDefault="00C46105" w:rsidP="002E4334">
      <w:pPr>
        <w:spacing w:before="100" w:beforeAutospacing="1" w:after="100" w:afterAutospacing="1" w:line="240" w:lineRule="auto"/>
        <w:rPr>
          <w:rFonts w:ascii="Times New Roman" w:eastAsia="Times New Roman" w:hAnsi="Times New Roman"/>
          <w:sz w:val="24"/>
          <w:szCs w:val="24"/>
        </w:rPr>
      </w:pPr>
      <w:hyperlink r:id="rId8" w:tgtFrame="_blank" w:history="1">
        <w:r w:rsidR="002E4334" w:rsidRPr="006F3EDA">
          <w:rPr>
            <w:rFonts w:ascii="Times New Roman" w:eastAsia="Times New Roman" w:hAnsi="Times New Roman"/>
            <w:color w:val="0000FF"/>
            <w:sz w:val="24"/>
            <w:szCs w:val="24"/>
            <w:u w:val="single"/>
          </w:rPr>
          <w:t>Mastering time: A key to successful ageing</w:t>
        </w:r>
      </w:hyperlink>
      <w:r w:rsidR="002E4334" w:rsidRPr="006F3EDA">
        <w:rPr>
          <w:rFonts w:ascii="Times New Roman" w:eastAsia="Times New Roman" w:hAnsi="Times New Roman"/>
          <w:sz w:val="24"/>
          <w:szCs w:val="24"/>
        </w:rPr>
        <w:br/>
      </w:r>
      <w:proofErr w:type="gramStart"/>
      <w:r w:rsidR="002E4334" w:rsidRPr="006F3EDA">
        <w:rPr>
          <w:rFonts w:ascii="Times New Roman" w:eastAsia="Times New Roman" w:hAnsi="Times New Roman"/>
          <w:sz w:val="24"/>
          <w:szCs w:val="24"/>
        </w:rPr>
        <w:t>In</w:t>
      </w:r>
      <w:proofErr w:type="gramEnd"/>
      <w:r w:rsidR="002E4334" w:rsidRPr="006F3EDA">
        <w:rPr>
          <w:rFonts w:ascii="Times New Roman" w:eastAsia="Times New Roman" w:hAnsi="Times New Roman"/>
          <w:sz w:val="24"/>
          <w:szCs w:val="24"/>
        </w:rPr>
        <w:t xml:space="preserve"> this </w:t>
      </w:r>
      <w:proofErr w:type="spellStart"/>
      <w:r w:rsidR="002E4334" w:rsidRPr="006F3EDA">
        <w:rPr>
          <w:rFonts w:ascii="Times New Roman" w:eastAsia="Times New Roman" w:hAnsi="Times New Roman"/>
          <w:sz w:val="24"/>
          <w:szCs w:val="24"/>
        </w:rPr>
        <w:t>TEDx</w:t>
      </w:r>
      <w:proofErr w:type="spellEnd"/>
      <w:r w:rsidR="002E4334" w:rsidRPr="006F3EDA">
        <w:rPr>
          <w:rFonts w:ascii="Times New Roman" w:eastAsia="Times New Roman" w:hAnsi="Times New Roman"/>
          <w:sz w:val="24"/>
          <w:szCs w:val="24"/>
        </w:rPr>
        <w:t xml:space="preserve"> video clip, Claire </w:t>
      </w:r>
      <w:proofErr w:type="spellStart"/>
      <w:r w:rsidR="002E4334" w:rsidRPr="006F3EDA">
        <w:rPr>
          <w:rFonts w:ascii="Times New Roman" w:eastAsia="Times New Roman" w:hAnsi="Times New Roman"/>
          <w:sz w:val="24"/>
          <w:szCs w:val="24"/>
        </w:rPr>
        <w:t>Steves</w:t>
      </w:r>
      <w:proofErr w:type="spellEnd"/>
      <w:r w:rsidR="002E4334" w:rsidRPr="006F3EDA">
        <w:rPr>
          <w:rFonts w:ascii="Times New Roman" w:eastAsia="Times New Roman" w:hAnsi="Times New Roman"/>
          <w:sz w:val="24"/>
          <w:szCs w:val="24"/>
        </w:rPr>
        <w:t xml:space="preserve">, a practicing geriatrician talks about the keys </w:t>
      </w:r>
      <w:proofErr w:type="spellStart"/>
      <w:r w:rsidR="002E4334" w:rsidRPr="006F3EDA">
        <w:rPr>
          <w:rFonts w:ascii="Times New Roman" w:eastAsia="Times New Roman" w:hAnsi="Times New Roman"/>
          <w:sz w:val="24"/>
          <w:szCs w:val="24"/>
        </w:rPr>
        <w:t>successfull</w:t>
      </w:r>
      <w:proofErr w:type="spellEnd"/>
      <w:r w:rsidR="002E4334" w:rsidRPr="006F3EDA">
        <w:rPr>
          <w:rFonts w:ascii="Times New Roman" w:eastAsia="Times New Roman" w:hAnsi="Times New Roman"/>
          <w:sz w:val="24"/>
          <w:szCs w:val="24"/>
        </w:rPr>
        <w:t xml:space="preserve"> age.</w:t>
      </w:r>
    </w:p>
    <w:p w:rsidR="002E4334" w:rsidRPr="006F3EDA" w:rsidRDefault="00C46105" w:rsidP="002E4334">
      <w:pPr>
        <w:spacing w:before="100" w:beforeAutospacing="1" w:after="100" w:afterAutospacing="1" w:line="240" w:lineRule="auto"/>
        <w:rPr>
          <w:rFonts w:ascii="Times New Roman" w:eastAsia="Times New Roman" w:hAnsi="Times New Roman"/>
          <w:sz w:val="24"/>
          <w:szCs w:val="24"/>
        </w:rPr>
      </w:pPr>
      <w:hyperlink r:id="rId9" w:tgtFrame="_blank" w:history="1">
        <w:r w:rsidR="002E4334" w:rsidRPr="006F3EDA">
          <w:rPr>
            <w:rFonts w:ascii="Times New Roman" w:eastAsia="Times New Roman" w:hAnsi="Times New Roman"/>
            <w:color w:val="0000FF"/>
            <w:sz w:val="24"/>
            <w:szCs w:val="24"/>
            <w:u w:val="single"/>
          </w:rPr>
          <w:t>Research Update on Successful Aging and Mental Health- Research on Aging</w:t>
        </w:r>
      </w:hyperlink>
      <w:r w:rsidR="002E4334" w:rsidRPr="006F3EDA">
        <w:rPr>
          <w:rFonts w:ascii="Times New Roman" w:eastAsia="Times New Roman" w:hAnsi="Times New Roman"/>
          <w:sz w:val="24"/>
          <w:szCs w:val="24"/>
        </w:rPr>
        <w:br/>
        <w:t xml:space="preserve">Colin </w:t>
      </w:r>
      <w:proofErr w:type="spellStart"/>
      <w:r w:rsidR="002E4334" w:rsidRPr="006F3EDA">
        <w:rPr>
          <w:rFonts w:ascii="Times New Roman" w:eastAsia="Times New Roman" w:hAnsi="Times New Roman"/>
          <w:sz w:val="24"/>
          <w:szCs w:val="24"/>
        </w:rPr>
        <w:t>Depp</w:t>
      </w:r>
      <w:proofErr w:type="spellEnd"/>
      <w:r w:rsidR="002E4334" w:rsidRPr="006F3EDA">
        <w:rPr>
          <w:rFonts w:ascii="Times New Roman" w:eastAsia="Times New Roman" w:hAnsi="Times New Roman"/>
          <w:sz w:val="24"/>
          <w:szCs w:val="24"/>
        </w:rPr>
        <w:t>, PhD discusses the behavioral and biological determinants of successful aging.</w:t>
      </w:r>
    </w:p>
    <w:p w:rsidR="002E4334" w:rsidRPr="006F3EDA" w:rsidRDefault="00C46105" w:rsidP="002E4334">
      <w:pPr>
        <w:spacing w:before="100" w:beforeAutospacing="1" w:after="100" w:afterAutospacing="1" w:line="240" w:lineRule="auto"/>
        <w:rPr>
          <w:rFonts w:ascii="Times New Roman" w:eastAsia="Times New Roman" w:hAnsi="Times New Roman"/>
          <w:sz w:val="24"/>
          <w:szCs w:val="24"/>
        </w:rPr>
      </w:pPr>
      <w:hyperlink r:id="rId10" w:tgtFrame="_blank" w:history="1">
        <w:r w:rsidR="002E4334" w:rsidRPr="006F3EDA">
          <w:rPr>
            <w:rFonts w:ascii="Times New Roman" w:eastAsia="Times New Roman" w:hAnsi="Times New Roman"/>
            <w:color w:val="0000FF"/>
            <w:sz w:val="24"/>
            <w:szCs w:val="24"/>
            <w:u w:val="single"/>
          </w:rPr>
          <w:t>Successful Aging</w:t>
        </w:r>
      </w:hyperlink>
      <w:r w:rsidR="002E4334" w:rsidRPr="006F3EDA">
        <w:rPr>
          <w:rFonts w:ascii="Times New Roman" w:eastAsia="Times New Roman" w:hAnsi="Times New Roman"/>
          <w:sz w:val="24"/>
          <w:szCs w:val="24"/>
        </w:rPr>
        <w:br/>
      </w:r>
      <w:proofErr w:type="spellStart"/>
      <w:r w:rsidR="002E4334" w:rsidRPr="006F3EDA">
        <w:rPr>
          <w:rFonts w:ascii="Times New Roman" w:eastAsia="Times New Roman" w:hAnsi="Times New Roman"/>
          <w:sz w:val="24"/>
          <w:szCs w:val="24"/>
        </w:rPr>
        <w:t>Jamila</w:t>
      </w:r>
      <w:proofErr w:type="spellEnd"/>
      <w:r w:rsidR="002E4334" w:rsidRPr="006F3EDA">
        <w:rPr>
          <w:rFonts w:ascii="Times New Roman" w:eastAsia="Times New Roman" w:hAnsi="Times New Roman"/>
          <w:sz w:val="24"/>
          <w:szCs w:val="24"/>
        </w:rPr>
        <w:t xml:space="preserve"> </w:t>
      </w:r>
      <w:proofErr w:type="spellStart"/>
      <w:r w:rsidR="002E4334" w:rsidRPr="006F3EDA">
        <w:rPr>
          <w:rFonts w:ascii="Times New Roman" w:eastAsia="Times New Roman" w:hAnsi="Times New Roman"/>
          <w:sz w:val="24"/>
          <w:szCs w:val="24"/>
        </w:rPr>
        <w:t>Bookwala</w:t>
      </w:r>
      <w:proofErr w:type="spellEnd"/>
      <w:r w:rsidR="002E4334" w:rsidRPr="006F3EDA">
        <w:rPr>
          <w:rFonts w:ascii="Times New Roman" w:eastAsia="Times New Roman" w:hAnsi="Times New Roman"/>
          <w:sz w:val="24"/>
          <w:szCs w:val="24"/>
        </w:rPr>
        <w:t>, associate professor of history at Lafayette College, lectures on "Successful Aging" at Alumni Summer College.</w:t>
      </w:r>
    </w:p>
    <w:p w:rsidR="002E4334" w:rsidRPr="002E4334" w:rsidRDefault="002E4334" w:rsidP="002E4334">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2E4334">
        <w:rPr>
          <w:rFonts w:ascii="Times New Roman" w:eastAsia="Times New Roman" w:hAnsi="Times New Roman"/>
          <w:bCs/>
          <w:i/>
          <w:color w:val="808080" w:themeColor="background1" w:themeShade="80"/>
          <w:sz w:val="24"/>
          <w:szCs w:val="24"/>
        </w:rPr>
        <w:t>Audio Clips</w:t>
      </w:r>
    </w:p>
    <w:p w:rsidR="002E4334" w:rsidRPr="006F3EDA" w:rsidRDefault="00C46105" w:rsidP="002E4334">
      <w:pPr>
        <w:spacing w:before="100" w:beforeAutospacing="1" w:after="100" w:afterAutospacing="1" w:line="240" w:lineRule="auto"/>
        <w:rPr>
          <w:rFonts w:ascii="Times New Roman" w:eastAsia="Times New Roman" w:hAnsi="Times New Roman"/>
          <w:sz w:val="24"/>
          <w:szCs w:val="24"/>
        </w:rPr>
      </w:pPr>
      <w:hyperlink r:id="rId11" w:tgtFrame="_blank" w:history="1">
        <w:r w:rsidR="002E4334" w:rsidRPr="006F3EDA">
          <w:rPr>
            <w:rFonts w:ascii="Times New Roman" w:eastAsia="Times New Roman" w:hAnsi="Times New Roman"/>
            <w:color w:val="0000FF"/>
            <w:sz w:val="24"/>
            <w:szCs w:val="24"/>
            <w:u w:val="single"/>
          </w:rPr>
          <w:t>Positive Aging</w:t>
        </w:r>
      </w:hyperlink>
      <w:r w:rsidR="002E4334" w:rsidRPr="006F3EDA">
        <w:rPr>
          <w:rFonts w:ascii="Times New Roman" w:eastAsia="Times New Roman" w:hAnsi="Times New Roman"/>
          <w:sz w:val="24"/>
          <w:szCs w:val="24"/>
        </w:rPr>
        <w:br/>
        <w:t xml:space="preserve">Besides enough money, what are the key elements in flourishing and feeling fulfilled as we grow older? Dr. Carol </w:t>
      </w:r>
      <w:proofErr w:type="spellStart"/>
      <w:r w:rsidR="002E4334" w:rsidRPr="006F3EDA">
        <w:rPr>
          <w:rFonts w:ascii="Times New Roman" w:eastAsia="Times New Roman" w:hAnsi="Times New Roman"/>
          <w:sz w:val="24"/>
          <w:szCs w:val="24"/>
        </w:rPr>
        <w:t>Ryff</w:t>
      </w:r>
      <w:proofErr w:type="spellEnd"/>
      <w:r w:rsidR="002E4334" w:rsidRPr="006F3EDA">
        <w:rPr>
          <w:rFonts w:ascii="Times New Roman" w:eastAsia="Times New Roman" w:hAnsi="Times New Roman"/>
          <w:sz w:val="24"/>
          <w:szCs w:val="24"/>
        </w:rPr>
        <w:t>, Director of the Institute of Aging at the University of Wisconsin-Madison, Professor of psychology and author of over 60 publications on this subject, shares her knowledge.</w:t>
      </w:r>
    </w:p>
    <w:p w:rsidR="002E4334" w:rsidRPr="006F3EDA" w:rsidRDefault="00C46105" w:rsidP="002E4334">
      <w:pPr>
        <w:spacing w:before="100" w:beforeAutospacing="1" w:after="100" w:afterAutospacing="1" w:line="240" w:lineRule="auto"/>
        <w:rPr>
          <w:rFonts w:ascii="Times New Roman" w:eastAsia="Times New Roman" w:hAnsi="Times New Roman"/>
          <w:sz w:val="24"/>
          <w:szCs w:val="24"/>
        </w:rPr>
      </w:pPr>
      <w:hyperlink r:id="rId12" w:tgtFrame="_blank" w:history="1">
        <w:r w:rsidR="002E4334" w:rsidRPr="006F3EDA">
          <w:rPr>
            <w:rFonts w:ascii="Times New Roman" w:eastAsia="Times New Roman" w:hAnsi="Times New Roman"/>
            <w:color w:val="0000FF"/>
            <w:sz w:val="24"/>
            <w:szCs w:val="24"/>
            <w:u w:val="single"/>
          </w:rPr>
          <w:t>Fairy Tales and the New Aging</w:t>
        </w:r>
      </w:hyperlink>
      <w:r w:rsidR="002E4334" w:rsidRPr="006F3EDA">
        <w:rPr>
          <w:rFonts w:ascii="Times New Roman" w:eastAsia="Times New Roman" w:hAnsi="Times New Roman"/>
          <w:sz w:val="24"/>
          <w:szCs w:val="24"/>
        </w:rPr>
        <w:br/>
      </w:r>
      <w:proofErr w:type="gramStart"/>
      <w:r w:rsidR="002E4334" w:rsidRPr="006F3EDA">
        <w:rPr>
          <w:rFonts w:ascii="Times New Roman" w:eastAsia="Times New Roman" w:hAnsi="Times New Roman"/>
          <w:sz w:val="24"/>
          <w:szCs w:val="24"/>
        </w:rPr>
        <w:t>A</w:t>
      </w:r>
      <w:proofErr w:type="gramEnd"/>
      <w:r w:rsidR="002E4334" w:rsidRPr="006F3EDA">
        <w:rPr>
          <w:rFonts w:ascii="Times New Roman" w:eastAsia="Times New Roman" w:hAnsi="Times New Roman"/>
          <w:sz w:val="24"/>
          <w:szCs w:val="24"/>
        </w:rPr>
        <w:t xml:space="preserve"> podcast with John C. Robinson, Ph.D., clinical psychologist talks about the interface of psychology, and spirituality, and aging.</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B5562D" w:rsidRDefault="00B5562D"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2E4334" w:rsidRDefault="002E4334" w:rsidP="004D20BD">
      <w:pPr>
        <w:pStyle w:val="Heading1"/>
      </w:pPr>
    </w:p>
    <w:p w:rsidR="002E4334" w:rsidRDefault="002E4334" w:rsidP="004D20BD">
      <w:pPr>
        <w:pStyle w:val="Heading1"/>
      </w:pPr>
    </w:p>
    <w:p w:rsidR="002E4334" w:rsidRDefault="002E4334" w:rsidP="004D20BD">
      <w:pPr>
        <w:pStyle w:val="Heading1"/>
      </w:pPr>
    </w:p>
    <w:p w:rsidR="002E4334" w:rsidRDefault="002E4334" w:rsidP="004D20BD">
      <w:pPr>
        <w:pStyle w:val="Heading1"/>
      </w:pPr>
    </w:p>
    <w:p w:rsidR="002E4334" w:rsidRDefault="002E4334" w:rsidP="004D20BD">
      <w:pPr>
        <w:pStyle w:val="Heading1"/>
      </w:pPr>
    </w:p>
    <w:p w:rsidR="003749D5" w:rsidRDefault="003749D5"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2E4334" w:rsidRPr="00E82EDD" w:rsidRDefault="00C46105" w:rsidP="002E4334">
      <w:pPr>
        <w:spacing w:before="100" w:beforeAutospacing="1" w:after="100" w:afterAutospacing="1" w:line="240" w:lineRule="auto"/>
        <w:rPr>
          <w:rFonts w:ascii="Times New Roman" w:eastAsia="Times New Roman" w:hAnsi="Times New Roman"/>
          <w:sz w:val="24"/>
          <w:szCs w:val="24"/>
        </w:rPr>
      </w:pPr>
      <w:hyperlink r:id="rId13" w:tgtFrame="_blank" w:history="1">
        <w:r w:rsidR="002E4334" w:rsidRPr="00E82EDD">
          <w:rPr>
            <w:rFonts w:ascii="Times New Roman" w:eastAsia="Times New Roman" w:hAnsi="Times New Roman"/>
            <w:color w:val="0000FF"/>
            <w:sz w:val="24"/>
            <w:szCs w:val="24"/>
            <w:u w:val="single"/>
          </w:rPr>
          <w:t>Aging &amp; Diversity</w:t>
        </w:r>
      </w:hyperlink>
      <w:r w:rsidR="002E4334" w:rsidRPr="00E82EDD">
        <w:rPr>
          <w:rFonts w:ascii="Times New Roman" w:eastAsia="Times New Roman" w:hAnsi="Times New Roman"/>
          <w:sz w:val="24"/>
          <w:szCs w:val="24"/>
        </w:rPr>
        <w:t> </w:t>
      </w:r>
      <w:r w:rsidR="002E4334" w:rsidRPr="00E82EDD">
        <w:rPr>
          <w:rFonts w:ascii="Times New Roman" w:eastAsia="Times New Roman" w:hAnsi="Times New Roman"/>
          <w:sz w:val="24"/>
          <w:szCs w:val="24"/>
        </w:rPr>
        <w:br/>
        <w:t>This resource provides additional information into the demographics o</w:t>
      </w:r>
      <w:r w:rsidR="002E4334">
        <w:rPr>
          <w:rFonts w:ascii="Times New Roman" w:eastAsia="Times New Roman" w:hAnsi="Times New Roman"/>
          <w:sz w:val="24"/>
          <w:szCs w:val="24"/>
        </w:rPr>
        <w:t xml:space="preserve">f aging populations in the </w:t>
      </w:r>
      <w:r w:rsidR="002E4334" w:rsidRPr="00E82EDD">
        <w:rPr>
          <w:rFonts w:ascii="Times New Roman" w:eastAsia="Times New Roman" w:hAnsi="Times New Roman"/>
          <w:sz w:val="24"/>
          <w:szCs w:val="24"/>
        </w:rPr>
        <w:t>United States, specifically minority populations.</w:t>
      </w:r>
    </w:p>
    <w:p w:rsidR="002E4334" w:rsidRPr="00E82EDD" w:rsidRDefault="00C46105" w:rsidP="002E4334">
      <w:pPr>
        <w:spacing w:before="100" w:beforeAutospacing="1" w:after="100" w:afterAutospacing="1" w:line="240" w:lineRule="auto"/>
        <w:rPr>
          <w:rFonts w:ascii="Times New Roman" w:eastAsia="Times New Roman" w:hAnsi="Times New Roman"/>
          <w:sz w:val="24"/>
          <w:szCs w:val="24"/>
        </w:rPr>
      </w:pPr>
      <w:hyperlink r:id="rId14" w:tgtFrame="_blank" w:history="1">
        <w:r w:rsidR="002E4334" w:rsidRPr="00E82EDD">
          <w:rPr>
            <w:rFonts w:ascii="Times New Roman" w:eastAsia="Times New Roman" w:hAnsi="Times New Roman"/>
            <w:color w:val="0000FF"/>
            <w:sz w:val="24"/>
            <w:szCs w:val="24"/>
            <w:u w:val="single"/>
          </w:rPr>
          <w:t>Successful Aging Resources</w:t>
        </w:r>
      </w:hyperlink>
      <w:r w:rsidR="002E4334" w:rsidRPr="00E82EDD">
        <w:rPr>
          <w:rFonts w:ascii="Times New Roman" w:eastAsia="Times New Roman" w:hAnsi="Times New Roman"/>
          <w:sz w:val="24"/>
          <w:szCs w:val="24"/>
        </w:rPr>
        <w:t> </w:t>
      </w:r>
      <w:r w:rsidR="002E4334" w:rsidRPr="00E82EDD">
        <w:rPr>
          <w:rFonts w:ascii="Times New Roman" w:eastAsia="Times New Roman" w:hAnsi="Times New Roman"/>
          <w:sz w:val="24"/>
          <w:szCs w:val="24"/>
        </w:rPr>
        <w:br/>
        <w:t>Provides a host of advice and tools in order to better understand successful aging.</w:t>
      </w:r>
    </w:p>
    <w:p w:rsidR="002E4334" w:rsidRPr="00E82EDD" w:rsidRDefault="00C46105" w:rsidP="002E4334">
      <w:pPr>
        <w:spacing w:before="100" w:beforeAutospacing="1" w:after="100" w:afterAutospacing="1" w:line="240" w:lineRule="auto"/>
        <w:rPr>
          <w:rFonts w:ascii="Times New Roman" w:eastAsia="Times New Roman" w:hAnsi="Times New Roman"/>
          <w:sz w:val="24"/>
          <w:szCs w:val="24"/>
        </w:rPr>
      </w:pPr>
      <w:hyperlink r:id="rId15" w:tgtFrame="_blank" w:history="1">
        <w:r w:rsidR="002E4334" w:rsidRPr="00E82EDD">
          <w:rPr>
            <w:rFonts w:ascii="Times New Roman" w:eastAsia="Times New Roman" w:hAnsi="Times New Roman"/>
            <w:color w:val="0000FF"/>
            <w:sz w:val="24"/>
            <w:szCs w:val="24"/>
            <w:u w:val="single"/>
          </w:rPr>
          <w:t>Positive Aging</w:t>
        </w:r>
      </w:hyperlink>
      <w:r w:rsidR="002E4334" w:rsidRPr="00E82EDD">
        <w:rPr>
          <w:rFonts w:ascii="Times New Roman" w:eastAsia="Times New Roman" w:hAnsi="Times New Roman"/>
          <w:sz w:val="24"/>
          <w:szCs w:val="24"/>
        </w:rPr>
        <w:t> </w:t>
      </w:r>
      <w:r w:rsidR="002E4334" w:rsidRPr="00E82EDD">
        <w:rPr>
          <w:rFonts w:ascii="Times New Roman" w:eastAsia="Times New Roman" w:hAnsi="Times New Roman"/>
          <w:sz w:val="24"/>
          <w:szCs w:val="24"/>
        </w:rPr>
        <w:br/>
        <w:t xml:space="preserve">A center dedicated to promoting the potential for high life satisfaction </w:t>
      </w:r>
      <w:r w:rsidR="002E4334">
        <w:rPr>
          <w:rFonts w:ascii="Times New Roman" w:eastAsia="Times New Roman" w:hAnsi="Times New Roman"/>
          <w:sz w:val="24"/>
          <w:szCs w:val="24"/>
        </w:rPr>
        <w:t>for those who are in latter</w:t>
      </w:r>
      <w:r w:rsidR="002E4334" w:rsidRPr="00E82EDD">
        <w:rPr>
          <w:rFonts w:ascii="Times New Roman" w:eastAsia="Times New Roman" w:hAnsi="Times New Roman"/>
          <w:sz w:val="24"/>
          <w:szCs w:val="24"/>
        </w:rPr>
        <w:t xml:space="preserve"> stages of life</w:t>
      </w:r>
    </w:p>
    <w:p w:rsidR="002E4334" w:rsidRPr="00E82EDD" w:rsidRDefault="00C46105" w:rsidP="002E4334">
      <w:pPr>
        <w:spacing w:before="100" w:beforeAutospacing="1" w:after="100" w:afterAutospacing="1" w:line="240" w:lineRule="auto"/>
        <w:rPr>
          <w:rFonts w:ascii="Times New Roman" w:eastAsia="Times New Roman" w:hAnsi="Times New Roman"/>
          <w:sz w:val="24"/>
          <w:szCs w:val="24"/>
        </w:rPr>
      </w:pPr>
      <w:hyperlink r:id="rId16" w:tgtFrame="_blank" w:history="1">
        <w:r w:rsidR="002E4334" w:rsidRPr="00E82EDD">
          <w:rPr>
            <w:rFonts w:ascii="Times New Roman" w:eastAsia="Times New Roman" w:hAnsi="Times New Roman"/>
            <w:color w:val="0000FF"/>
            <w:sz w:val="24"/>
            <w:szCs w:val="24"/>
            <w:u w:val="single"/>
          </w:rPr>
          <w:t>Healthy Aging Resources</w:t>
        </w:r>
      </w:hyperlink>
      <w:r w:rsidR="002E4334" w:rsidRPr="00E82EDD">
        <w:rPr>
          <w:rFonts w:ascii="Times New Roman" w:eastAsia="Times New Roman" w:hAnsi="Times New Roman"/>
          <w:sz w:val="24"/>
          <w:szCs w:val="24"/>
        </w:rPr>
        <w:t> </w:t>
      </w:r>
      <w:r w:rsidR="002E4334" w:rsidRPr="00E82EDD">
        <w:rPr>
          <w:rFonts w:ascii="Times New Roman" w:eastAsia="Times New Roman" w:hAnsi="Times New Roman"/>
          <w:sz w:val="24"/>
          <w:szCs w:val="24"/>
        </w:rPr>
        <w:br/>
        <w:t>Provides a wide overview of various aspects of healthy aging for health professionals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0D5140" w:rsidRDefault="000D5140"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48634F" w:rsidRPr="0062163F" w:rsidRDefault="0048634F" w:rsidP="0048634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48634F" w:rsidRPr="0062163F" w:rsidRDefault="0048634F" w:rsidP="0048634F">
      <w:pPr>
        <w:spacing w:before="100" w:beforeAutospacing="1" w:after="100" w:afterAutospacing="1" w:line="240" w:lineRule="auto"/>
        <w:rPr>
          <w:rFonts w:ascii="Times New Roman" w:eastAsia="Times New Roman" w:hAnsi="Times New Roman"/>
          <w:sz w:val="24"/>
          <w:szCs w:val="24"/>
        </w:rPr>
      </w:pPr>
      <w:proofErr w:type="spellStart"/>
      <w:r w:rsidRPr="0062163F">
        <w:rPr>
          <w:rFonts w:ascii="Times New Roman" w:eastAsia="Times New Roman" w:hAnsi="Times New Roman"/>
          <w:sz w:val="24"/>
          <w:szCs w:val="24"/>
        </w:rPr>
        <w:t>Kulik</w:t>
      </w:r>
      <w:proofErr w:type="spellEnd"/>
      <w:r w:rsidRPr="0062163F">
        <w:rPr>
          <w:rFonts w:ascii="Times New Roman" w:eastAsia="Times New Roman" w:hAnsi="Times New Roman"/>
          <w:sz w:val="24"/>
          <w:szCs w:val="24"/>
        </w:rPr>
        <w:t>, L. (2006). </w:t>
      </w:r>
      <w:hyperlink r:id="rId17" w:tgtFrame="_blank" w:history="1">
        <w:r w:rsidRPr="0062163F">
          <w:rPr>
            <w:rFonts w:ascii="Times New Roman" w:eastAsia="Times New Roman" w:hAnsi="Times New Roman"/>
            <w:color w:val="0000FF"/>
            <w:sz w:val="24"/>
            <w:szCs w:val="24"/>
            <w:u w:val="single"/>
          </w:rPr>
          <w:t>The impact of spousal variables on life satisfaction of individuals in late adulthood: The Israeli case</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International Journal of Comparative Sociology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47</w:t>
      </w:r>
      <w:r w:rsidRPr="0062163F">
        <w:rPr>
          <w:rFonts w:ascii="Times New Roman" w:eastAsia="Times New Roman" w:hAnsi="Times New Roman"/>
          <w:sz w:val="24"/>
          <w:szCs w:val="24"/>
        </w:rPr>
        <w:t>(1), 54-72.</w:t>
      </w:r>
    </w:p>
    <w:p w:rsidR="0048634F" w:rsidRPr="0062163F" w:rsidRDefault="0048634F" w:rsidP="0048634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48634F" w:rsidRPr="0062163F" w:rsidRDefault="0048634F" w:rsidP="0048634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We examine whether </w:t>
      </w:r>
      <w:proofErr w:type="spellStart"/>
      <w:r w:rsidRPr="0062163F">
        <w:rPr>
          <w:rFonts w:ascii="Times New Roman" w:eastAsia="Times New Roman" w:hAnsi="Times New Roman"/>
          <w:sz w:val="24"/>
          <w:szCs w:val="24"/>
        </w:rPr>
        <w:t>homogamy</w:t>
      </w:r>
      <w:proofErr w:type="spellEnd"/>
      <w:r w:rsidRPr="0062163F">
        <w:rPr>
          <w:rFonts w:ascii="Times New Roman" w:eastAsia="Times New Roman" w:hAnsi="Times New Roman"/>
          <w:sz w:val="24"/>
          <w:szCs w:val="24"/>
        </w:rPr>
        <w:t xml:space="preserve"> (similarity) in socio-demographic variables and personality traits in late adulthood is greater among couples characterized by high life satisfaction than among those characterized by low life satisfaction. The research sample included 256 participants (128 husbands and 128 wives) in Israel. The findings on </w:t>
      </w:r>
      <w:proofErr w:type="spellStart"/>
      <w:r w:rsidRPr="0062163F">
        <w:rPr>
          <w:rFonts w:ascii="Times New Roman" w:eastAsia="Times New Roman" w:hAnsi="Times New Roman"/>
          <w:sz w:val="24"/>
          <w:szCs w:val="24"/>
        </w:rPr>
        <w:t>homogamy</w:t>
      </w:r>
      <w:proofErr w:type="spellEnd"/>
      <w:r w:rsidRPr="0062163F">
        <w:rPr>
          <w:rFonts w:ascii="Times New Roman" w:eastAsia="Times New Roman" w:hAnsi="Times New Roman"/>
          <w:sz w:val="24"/>
          <w:szCs w:val="24"/>
        </w:rPr>
        <w:t xml:space="preserve"> in socio-demographic variables reveal no differences between participants in the ‘high’ and ‘low’ satisfaction groups. However, with regard to personality traits (self-esteem and anxiety), there are differences between participants in ‘high’ and ‘low’ satisfaction groups. In the high satisfaction group, the husbands (and the wives to some extent) have more similar personality traits than their counterparts in the low satisfaction group. In general, the findings reveal greater similarity in socio-demographic variables than in personality traits among the spouses. The findings also indicate that in late adulthood wives are less satisfied with life, have higher anxiety, and lower self-esteem than their husbands.</w:t>
      </w:r>
    </w:p>
    <w:p w:rsidR="0048634F" w:rsidRPr="0062163F" w:rsidRDefault="0048634F" w:rsidP="0048634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48634F" w:rsidRPr="0062163F" w:rsidRDefault="0048634F" w:rsidP="0048634F">
      <w:pPr>
        <w:numPr>
          <w:ilvl w:val="0"/>
          <w:numId w:val="2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Discuss the concept of </w:t>
      </w:r>
      <w:proofErr w:type="spellStart"/>
      <w:r w:rsidRPr="0062163F">
        <w:rPr>
          <w:rFonts w:ascii="Times New Roman" w:eastAsia="Times New Roman" w:hAnsi="Times New Roman"/>
          <w:sz w:val="24"/>
          <w:szCs w:val="24"/>
        </w:rPr>
        <w:t>homogamy</w:t>
      </w:r>
      <w:proofErr w:type="spellEnd"/>
      <w:r w:rsidRPr="0062163F">
        <w:rPr>
          <w:rFonts w:ascii="Times New Roman" w:eastAsia="Times New Roman" w:hAnsi="Times New Roman"/>
          <w:sz w:val="24"/>
          <w:szCs w:val="24"/>
        </w:rPr>
        <w:t xml:space="preserve"> and how it relates to life satisfaction in late adulthood.</w:t>
      </w:r>
    </w:p>
    <w:p w:rsidR="0048634F" w:rsidRPr="0062163F" w:rsidRDefault="0048634F" w:rsidP="0048634F">
      <w:pPr>
        <w:numPr>
          <w:ilvl w:val="0"/>
          <w:numId w:val="2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Explain the implications of self-esteem and anxiety in late adult life satisfaction.</w:t>
      </w:r>
    </w:p>
    <w:p w:rsidR="00684755" w:rsidRPr="0048634F" w:rsidRDefault="0048634F" w:rsidP="0048634F">
      <w:pPr>
        <w:numPr>
          <w:ilvl w:val="0"/>
          <w:numId w:val="2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relevance of diverse family patterns in counseling clients in late adulthood.</w:t>
      </w:r>
    </w:p>
    <w:sectPr w:rsidR="00684755" w:rsidRPr="0048634F" w:rsidSect="00014F38">
      <w:headerReference w:type="default" r:id="rId18"/>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334" w:rsidRDefault="002E4334" w:rsidP="00FE0F9A">
      <w:pPr>
        <w:spacing w:after="0" w:line="240" w:lineRule="auto"/>
      </w:pPr>
      <w:r>
        <w:separator/>
      </w:r>
    </w:p>
  </w:endnote>
  <w:endnote w:type="continuationSeparator" w:id="0">
    <w:p w:rsidR="002E4334" w:rsidRDefault="002E4334"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334" w:rsidRDefault="002E4334" w:rsidP="00FE0F9A">
      <w:pPr>
        <w:spacing w:after="0" w:line="240" w:lineRule="auto"/>
      </w:pPr>
      <w:r>
        <w:separator/>
      </w:r>
    </w:p>
  </w:footnote>
  <w:footnote w:type="continuationSeparator" w:id="0">
    <w:p w:rsidR="002E4334" w:rsidRDefault="002E4334"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334" w:rsidRPr="008A328F" w:rsidRDefault="00C46105"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2E4334" w:rsidRPr="00684755" w:rsidRDefault="002E4334"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2E4334" w:rsidRPr="00EA40EE" w:rsidRDefault="00CC5DC0" w:rsidP="00CC5DC0">
                <w:pPr>
                  <w:rPr>
                    <w:sz w:val="18"/>
                  </w:rPr>
                </w:pPr>
                <w:r>
                  <w:rPr>
                    <w:sz w:val="18"/>
                  </w:rPr>
                  <w:t>Chapter 21:</w:t>
                </w:r>
                <w:r w:rsidRPr="00CC5DC0">
                  <w:rPr>
                    <w:sz w:val="18"/>
                  </w:rPr>
                  <w:t xml:space="preserve"> A Positive Aging Framework for Counseling Older Adults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2E4334" w:rsidRPr="00EA40EE" w:rsidRDefault="00C46105" w:rsidP="008A328F">
                <w:pPr>
                  <w:jc w:val="right"/>
                  <w:rPr>
                    <w:color w:val="FFFFFF"/>
                    <w:sz w:val="20"/>
                  </w:rPr>
                </w:pPr>
                <w:r w:rsidRPr="00EA40EE">
                  <w:rPr>
                    <w:sz w:val="20"/>
                  </w:rPr>
                  <w:fldChar w:fldCharType="begin"/>
                </w:r>
                <w:r w:rsidR="002E4334" w:rsidRPr="00EA40EE">
                  <w:rPr>
                    <w:sz w:val="20"/>
                  </w:rPr>
                  <w:instrText xml:space="preserve"> PAGE   \* MERGEFORMAT </w:instrText>
                </w:r>
                <w:r w:rsidRPr="00EA40EE">
                  <w:rPr>
                    <w:sz w:val="20"/>
                  </w:rPr>
                  <w:fldChar w:fldCharType="separate"/>
                </w:r>
                <w:r w:rsidR="00CC5DC0" w:rsidRPr="00CC5DC0">
                  <w:rPr>
                    <w:noProof/>
                    <w:color w:val="FFFFFF"/>
                    <w:sz w:val="20"/>
                  </w:rPr>
                  <w:t>9</w:t>
                </w:r>
                <w:r w:rsidRPr="00EA40EE">
                  <w:rPr>
                    <w:sz w:val="20"/>
                  </w:rPr>
                  <w:fldChar w:fldCharType="end"/>
                </w:r>
              </w:p>
            </w:txbxContent>
          </v:textbox>
          <w10:wrap anchorx="page" anchory="page"/>
        </v:shape>
      </w:pict>
    </w:r>
  </w:p>
  <w:p w:rsidR="002E4334" w:rsidRPr="008A328F" w:rsidRDefault="002E4334"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41A0"/>
    <w:multiLevelType w:val="multilevel"/>
    <w:tmpl w:val="C8F63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3E6069"/>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20774"/>
    <w:multiLevelType w:val="multilevel"/>
    <w:tmpl w:val="4A4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FC2240"/>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5E4036"/>
    <w:multiLevelType w:val="hybridMultilevel"/>
    <w:tmpl w:val="F698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B9398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57674"/>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17DDB"/>
    <w:multiLevelType w:val="hybridMultilevel"/>
    <w:tmpl w:val="B7C6A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222EAD"/>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8B686A"/>
    <w:multiLevelType w:val="multilevel"/>
    <w:tmpl w:val="062C0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4253E1"/>
    <w:multiLevelType w:val="hybridMultilevel"/>
    <w:tmpl w:val="4F34E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F05AD5"/>
    <w:multiLevelType w:val="hybridMultilevel"/>
    <w:tmpl w:val="E6AC1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2430D3"/>
    <w:multiLevelType w:val="multilevel"/>
    <w:tmpl w:val="9B0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82278B"/>
    <w:multiLevelType w:val="multilevel"/>
    <w:tmpl w:val="602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690C02"/>
    <w:multiLevelType w:val="multilevel"/>
    <w:tmpl w:val="BB346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903FB6"/>
    <w:multiLevelType w:val="hybridMultilevel"/>
    <w:tmpl w:val="09823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D53E6C"/>
    <w:multiLevelType w:val="multilevel"/>
    <w:tmpl w:val="05249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5D06A6"/>
    <w:multiLevelType w:val="multilevel"/>
    <w:tmpl w:val="6F2A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D6312D"/>
    <w:multiLevelType w:val="multilevel"/>
    <w:tmpl w:val="9EFC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DE2A12"/>
    <w:multiLevelType w:val="multilevel"/>
    <w:tmpl w:val="71C4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9102DF"/>
    <w:multiLevelType w:val="multilevel"/>
    <w:tmpl w:val="AC76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81D3752"/>
    <w:multiLevelType w:val="hybridMultilevel"/>
    <w:tmpl w:val="B78C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D978A7"/>
    <w:multiLevelType w:val="multilevel"/>
    <w:tmpl w:val="DA7C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E13E7D"/>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23"/>
  </w:num>
  <w:num w:numId="5">
    <w:abstractNumId w:val="0"/>
  </w:num>
  <w:num w:numId="6">
    <w:abstractNumId w:val="20"/>
  </w:num>
  <w:num w:numId="7">
    <w:abstractNumId w:val="15"/>
  </w:num>
  <w:num w:numId="8">
    <w:abstractNumId w:val="21"/>
  </w:num>
  <w:num w:numId="9">
    <w:abstractNumId w:val="8"/>
  </w:num>
  <w:num w:numId="10">
    <w:abstractNumId w:val="5"/>
  </w:num>
  <w:num w:numId="11">
    <w:abstractNumId w:val="14"/>
  </w:num>
  <w:num w:numId="12">
    <w:abstractNumId w:val="18"/>
  </w:num>
  <w:num w:numId="13">
    <w:abstractNumId w:val="22"/>
  </w:num>
  <w:num w:numId="14">
    <w:abstractNumId w:val="2"/>
  </w:num>
  <w:num w:numId="15">
    <w:abstractNumId w:val="9"/>
  </w:num>
  <w:num w:numId="16">
    <w:abstractNumId w:val="11"/>
  </w:num>
  <w:num w:numId="17">
    <w:abstractNumId w:val="7"/>
  </w:num>
  <w:num w:numId="18">
    <w:abstractNumId w:val="6"/>
  </w:num>
  <w:num w:numId="19">
    <w:abstractNumId w:val="3"/>
  </w:num>
  <w:num w:numId="20">
    <w:abstractNumId w:val="12"/>
  </w:num>
  <w:num w:numId="21">
    <w:abstractNumId w:val="17"/>
  </w:num>
  <w:num w:numId="22">
    <w:abstractNumId w:val="19"/>
  </w:num>
  <w:num w:numId="23">
    <w:abstractNumId w:val="13"/>
  </w:num>
  <w:num w:numId="24">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5140"/>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334"/>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634F"/>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47C"/>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0CED"/>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62D"/>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0758E"/>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46105"/>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5DC0"/>
    <w:rsid w:val="00CC6D37"/>
    <w:rsid w:val="00CD1BCA"/>
    <w:rsid w:val="00CD2C3B"/>
    <w:rsid w:val="00CD5C45"/>
    <w:rsid w:val="00CD5E44"/>
    <w:rsid w:val="00CD69BB"/>
    <w:rsid w:val="00CE5B4D"/>
    <w:rsid w:val="00CF24F0"/>
    <w:rsid w:val="00CF2849"/>
    <w:rsid w:val="00CF447C"/>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KTx2Su67DUw" TargetMode="External"/><Relationship Id="rId13" Type="http://schemas.openxmlformats.org/officeDocument/2006/relationships/hyperlink" Target="http://www.asaging.org/diversity" TargetMode="External"/><Relationship Id="rId18" Type="http://schemas.openxmlformats.org/officeDocument/2006/relationships/header" Target="header1.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ia.blubrry.com/psychology/p/shrinkrapradio.com/images/414-Fairy-Tales-and-The-New-Aging-with-John-C.-Robinson.mp3" TargetMode="External"/><Relationship Id="rId17" Type="http://schemas.openxmlformats.org/officeDocument/2006/relationships/hyperlink" Target="http://cos.sagepub.com/cgi/reprint/47/1/54?ijkey=Kc10Z8U/V8iPM&amp;keytype=ref&amp;siteid=spcos" TargetMode="External"/><Relationship Id="rId2" Type="http://schemas.openxmlformats.org/officeDocument/2006/relationships/numbering" Target="numbering.xml"/><Relationship Id="rId16" Type="http://schemas.openxmlformats.org/officeDocument/2006/relationships/hyperlink" Target="http://www.cdc.gov/aging/index.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affic.libsyn.com/insightstalk/PositiveAging.mp3" TargetMode="External"/><Relationship Id="rId5" Type="http://schemas.openxmlformats.org/officeDocument/2006/relationships/webSettings" Target="webSettings.xml"/><Relationship Id="rId15" Type="http://schemas.openxmlformats.org/officeDocument/2006/relationships/hyperlink" Target="http://www.programforpositiveaging.org/" TargetMode="External"/><Relationship Id="rId10" Type="http://schemas.openxmlformats.org/officeDocument/2006/relationships/hyperlink" Target="https://youtu.be/Auj88XYFSZ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gf-Cu7xW5tw" TargetMode="External"/><Relationship Id="rId14" Type="http://schemas.openxmlformats.org/officeDocument/2006/relationships/hyperlink" Target="http://www.ndsu.edu/ndsu/aging/mentalhealth/toolkit3/Module%203%20handou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8D5E-A0A5-4147-8F25-3E8B490A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1924</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2015-06-04T16:43:00Z</dcterms:created>
  <dcterms:modified xsi:type="dcterms:W3CDTF">2015-06-04T17:37:00Z</dcterms:modified>
</cp:coreProperties>
</file>