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851" w:rsidRDefault="00752851" w:rsidP="00752851">
      <w:pPr>
        <w:pStyle w:val="Chnumber"/>
      </w:pPr>
      <w:r>
        <w:t xml:space="preserve">Chapter 2 </w:t>
      </w:r>
    </w:p>
    <w:p w:rsidR="00752851" w:rsidRDefault="00752851" w:rsidP="00752851">
      <w:pPr>
        <w:pStyle w:val="ChapterHeading"/>
      </w:pPr>
      <w:r>
        <w:t>Theoretical Appro</w:t>
      </w:r>
      <w:bookmarkStart w:id="0" w:name="Chapter2"/>
      <w:bookmarkEnd w:id="0"/>
      <w:r>
        <w:t>aches to Change and Transformation</w:t>
      </w:r>
    </w:p>
    <w:p w:rsidR="00752851" w:rsidRDefault="00752851" w:rsidP="00752851">
      <w:pPr>
        <w:pStyle w:val="A-head"/>
      </w:pPr>
      <w:r>
        <w:t>Suggested learning outcomes</w:t>
      </w:r>
    </w:p>
    <w:p w:rsidR="00752851" w:rsidRDefault="00752851" w:rsidP="00752851">
      <w:pPr>
        <w:pStyle w:val="Bulletlist"/>
        <w:rPr>
          <w:b/>
        </w:rPr>
      </w:pPr>
      <w:r>
        <w:t>To appreciate the complex nature of change in organizations</w:t>
      </w:r>
    </w:p>
    <w:p w:rsidR="00752851" w:rsidRDefault="00752851" w:rsidP="00752851">
      <w:pPr>
        <w:pStyle w:val="Bulletlist"/>
        <w:rPr>
          <w:b/>
        </w:rPr>
      </w:pPr>
      <w:r>
        <w:t>To explain the theoretical perspectives relating to the types of change that organizations experience</w:t>
      </w:r>
    </w:p>
    <w:p w:rsidR="00752851" w:rsidRDefault="00752851" w:rsidP="00752851">
      <w:pPr>
        <w:pStyle w:val="Bulletlist"/>
        <w:rPr>
          <w:b/>
        </w:rPr>
      </w:pPr>
      <w:r>
        <w:t>To identify the different types of change</w:t>
      </w:r>
    </w:p>
    <w:p w:rsidR="00752851" w:rsidRDefault="00752851" w:rsidP="00752851">
      <w:pPr>
        <w:pStyle w:val="A-head"/>
      </w:pPr>
      <w:r>
        <w:t xml:space="preserve">Overview of chapter </w:t>
      </w:r>
    </w:p>
    <w:p w:rsidR="00752851" w:rsidRDefault="00752851" w:rsidP="00752851">
      <w:pPr>
        <w:pStyle w:val="Bulletlist"/>
        <w:rPr>
          <w:rFonts w:cs="Arial"/>
          <w:b/>
          <w:szCs w:val="20"/>
        </w:rPr>
      </w:pPr>
      <w:r>
        <w:t xml:space="preserve">Change can emerge through a planned approach. </w:t>
      </w:r>
      <w:r>
        <w:rPr>
          <w:i/>
        </w:rPr>
        <w:t xml:space="preserve">Planned </w:t>
      </w:r>
      <w:r>
        <w:t xml:space="preserve">change is deliberate, a product of conscious reasoning and action. In contrast, change sometimes unfolds in an apparently spontaneous and unplanned way. This type of change is known as emergent change. </w:t>
      </w:r>
    </w:p>
    <w:p w:rsidR="00752851" w:rsidRDefault="00752851" w:rsidP="00752851">
      <w:pPr>
        <w:pStyle w:val="Bulletlist"/>
        <w:rPr>
          <w:rFonts w:cs="Arial"/>
          <w:b/>
        </w:rPr>
      </w:pPr>
      <w:r>
        <w:t>The magnitude or scale of change can range along a continuum from small-scale discrete change (incremental) to a large scale transformation. Incremental change aims to provide improvements. In contrast to incremental change, transformational change aims to redefine an organization’s strategic direction, form, cultural assumptions and identity. This kind of change is also referred to as ‘strategic’, ‘radical’ or ‘revolutionary’.</w:t>
      </w:r>
    </w:p>
    <w:p w:rsidR="00752851" w:rsidRDefault="00752851" w:rsidP="00752851">
      <w:pPr>
        <w:pStyle w:val="Bulletlist"/>
        <w:rPr>
          <w:rFonts w:cs="Arial"/>
          <w:b/>
        </w:rPr>
      </w:pPr>
      <w:r>
        <w:t xml:space="preserve">An alternative position to viewing change as either incremental or transformational is punctuated equilibrium. This theory posits that organizations evolve through periods of incremental change, and periods of transformation, in which the deep structures of the organization are fundamentally altered. </w:t>
      </w:r>
    </w:p>
    <w:p w:rsidR="00752851" w:rsidRDefault="00752851" w:rsidP="00752851">
      <w:pPr>
        <w:pStyle w:val="Bulletlist"/>
        <w:rPr>
          <w:rFonts w:cs="Arial"/>
          <w:b/>
        </w:rPr>
      </w:pPr>
      <w:r>
        <w:t xml:space="preserve">The focus of organizational change can be </w:t>
      </w:r>
      <w:r>
        <w:rPr>
          <w:i/>
        </w:rPr>
        <w:t>strategic</w:t>
      </w:r>
      <w:r>
        <w:t xml:space="preserve"> or </w:t>
      </w:r>
      <w:r>
        <w:rPr>
          <w:i/>
        </w:rPr>
        <w:t xml:space="preserve">operational. </w:t>
      </w:r>
    </w:p>
    <w:p w:rsidR="00752851" w:rsidRDefault="00752851" w:rsidP="00752851">
      <w:pPr>
        <w:pStyle w:val="Bulletlist"/>
        <w:rPr>
          <w:rFonts w:cs="Arial"/>
        </w:rPr>
      </w:pPr>
      <w:r>
        <w:t xml:space="preserve">The level of the change process can be at an </w:t>
      </w:r>
      <w:r>
        <w:rPr>
          <w:i/>
        </w:rPr>
        <w:t xml:space="preserve">individual, group, team, </w:t>
      </w:r>
      <w:r>
        <w:t xml:space="preserve">or </w:t>
      </w:r>
      <w:r>
        <w:rPr>
          <w:i/>
        </w:rPr>
        <w:t>organization</w:t>
      </w:r>
      <w:r>
        <w:t xml:space="preserve"> level. The targets for this dimension of change tend to be behaviour, skills, knowledge, and attitudes. Although the three levels are related, changes affecting each require different strategies and tactics. </w:t>
      </w:r>
    </w:p>
    <w:p w:rsidR="00752851" w:rsidRDefault="00752851" w:rsidP="00752851">
      <w:pPr>
        <w:pStyle w:val="A-head"/>
      </w:pPr>
      <w:r>
        <w:t>Exercises and activities</w:t>
      </w:r>
    </w:p>
    <w:p w:rsidR="00752851" w:rsidRDefault="00752851" w:rsidP="00752851">
      <w:pPr>
        <w:pStyle w:val="Bulletlist"/>
      </w:pPr>
      <w:r>
        <w:t xml:space="preserve">This exercise helps students to compare and contrast the prescriptive guidelines on major change programmes. Ask students to read the following articles Nadler and </w:t>
      </w:r>
      <w:proofErr w:type="spellStart"/>
      <w:r>
        <w:t>Tushman</w:t>
      </w:r>
      <w:proofErr w:type="spellEnd"/>
      <w:r>
        <w:t xml:space="preserve"> (1989),</w:t>
      </w:r>
      <w:r>
        <w:rPr>
          <w:rStyle w:val="FootnoteReference"/>
          <w:rFonts w:ascii="Times New Roman" w:hAnsi="Times New Roman"/>
          <w:sz w:val="24"/>
        </w:rPr>
        <w:footnoteReference w:id="1"/>
      </w:r>
      <w:r>
        <w:t xml:space="preserve"> Beer et al. (1990)</w:t>
      </w:r>
      <w:r>
        <w:rPr>
          <w:rStyle w:val="FootnoteReference"/>
          <w:rFonts w:ascii="Times New Roman" w:hAnsi="Times New Roman"/>
          <w:sz w:val="24"/>
        </w:rPr>
        <w:footnoteReference w:id="2"/>
      </w:r>
      <w:r>
        <w:t xml:space="preserve"> and Kotter (1995)</w:t>
      </w:r>
      <w:r>
        <w:rPr>
          <w:rStyle w:val="FootnoteReference"/>
          <w:rFonts w:ascii="Times New Roman" w:hAnsi="Times New Roman"/>
          <w:sz w:val="24"/>
        </w:rPr>
        <w:footnoteReference w:id="3"/>
      </w:r>
      <w:r>
        <w:t xml:space="preserve"> and complete the table below. Then ask students to share what prescriptions or recommendations there are in common.</w:t>
      </w:r>
    </w:p>
    <w:p w:rsidR="00752851" w:rsidRDefault="00752851" w:rsidP="00752851">
      <w:pPr>
        <w:spacing w:line="480" w:lineRule="auto"/>
        <w:rPr>
          <w:color w:val="000000"/>
          <w:szCs w:val="24"/>
        </w:rPr>
      </w:pPr>
    </w:p>
    <w:tbl>
      <w:tblPr>
        <w:tblW w:w="0" w:type="auto"/>
        <w:tblInd w:w="107" w:type="dxa"/>
        <w:tblBorders>
          <w:top w:val="nil"/>
          <w:left w:val="nil"/>
          <w:bottom w:val="nil"/>
          <w:right w:val="nil"/>
        </w:tblBorders>
        <w:tblLayout w:type="fixed"/>
        <w:tblLook w:val="0000" w:firstRow="0" w:lastRow="0" w:firstColumn="0" w:lastColumn="0" w:noHBand="0" w:noVBand="0"/>
      </w:tblPr>
      <w:tblGrid>
        <w:gridCol w:w="1914"/>
        <w:gridCol w:w="1914"/>
        <w:gridCol w:w="1914"/>
        <w:gridCol w:w="1914"/>
      </w:tblGrid>
      <w:tr w:rsidR="00752851" w:rsidTr="00907EAA">
        <w:trPr>
          <w:trHeight w:val="393"/>
        </w:trPr>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color w:val="000000"/>
                <w:sz w:val="20"/>
              </w:rPr>
            </w:pPr>
            <w:r>
              <w:rPr>
                <w:rFonts w:ascii="Arial" w:hAnsi="Arial" w:cs="Arial"/>
                <w:bCs/>
                <w:color w:val="000000"/>
                <w:sz w:val="20"/>
              </w:rPr>
              <w:t xml:space="preserve">The change management prescription… </w:t>
            </w: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color w:val="000000"/>
                <w:sz w:val="20"/>
              </w:rPr>
            </w:pPr>
            <w:r>
              <w:rPr>
                <w:rFonts w:ascii="Arial" w:hAnsi="Arial" w:cs="Arial"/>
                <w:bCs/>
                <w:color w:val="000000"/>
                <w:sz w:val="20"/>
              </w:rPr>
              <w:t xml:space="preserve">Nadler &amp; </w:t>
            </w:r>
            <w:proofErr w:type="spellStart"/>
            <w:r>
              <w:rPr>
                <w:rFonts w:ascii="Arial" w:hAnsi="Arial" w:cs="Arial"/>
                <w:bCs/>
                <w:color w:val="000000"/>
                <w:sz w:val="20"/>
              </w:rPr>
              <w:t>Tushman</w:t>
            </w:r>
            <w:proofErr w:type="spellEnd"/>
            <w:r>
              <w:rPr>
                <w:rFonts w:ascii="Arial" w:hAnsi="Arial" w:cs="Arial"/>
                <w:bCs/>
                <w:color w:val="000000"/>
                <w:sz w:val="20"/>
              </w:rPr>
              <w:t xml:space="preserve"> (1989) </w:t>
            </w: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color w:val="000000"/>
                <w:sz w:val="20"/>
              </w:rPr>
            </w:pPr>
            <w:r>
              <w:rPr>
                <w:rFonts w:ascii="Arial" w:hAnsi="Arial" w:cs="Arial"/>
                <w:bCs/>
                <w:color w:val="000000"/>
                <w:sz w:val="20"/>
              </w:rPr>
              <w:t xml:space="preserve">Beer et al. (1990) </w:t>
            </w: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color w:val="000000"/>
                <w:sz w:val="20"/>
              </w:rPr>
            </w:pPr>
            <w:r>
              <w:rPr>
                <w:rFonts w:ascii="Arial" w:hAnsi="Arial" w:cs="Arial"/>
                <w:bCs/>
                <w:color w:val="000000"/>
                <w:sz w:val="20"/>
              </w:rPr>
              <w:t xml:space="preserve">Kotter </w:t>
            </w:r>
          </w:p>
          <w:p w:rsidR="00752851" w:rsidRDefault="00752851" w:rsidP="00907EAA">
            <w:pPr>
              <w:rPr>
                <w:rFonts w:ascii="Arial" w:hAnsi="Arial" w:cs="Arial"/>
                <w:color w:val="000000"/>
                <w:sz w:val="20"/>
              </w:rPr>
            </w:pPr>
            <w:r>
              <w:rPr>
                <w:rFonts w:ascii="Arial" w:hAnsi="Arial" w:cs="Arial"/>
                <w:bCs/>
                <w:color w:val="000000"/>
                <w:sz w:val="20"/>
              </w:rPr>
              <w:t xml:space="preserve">(1995) </w:t>
            </w:r>
          </w:p>
        </w:tc>
      </w:tr>
      <w:tr w:rsidR="00752851" w:rsidTr="00907EAA">
        <w:trPr>
          <w:trHeight w:val="393"/>
        </w:trPr>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r>
      <w:tr w:rsidR="00752851" w:rsidTr="00907EAA">
        <w:trPr>
          <w:trHeight w:val="393"/>
        </w:trPr>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r>
      <w:tr w:rsidR="00752851" w:rsidTr="00907EAA">
        <w:trPr>
          <w:trHeight w:val="393"/>
        </w:trPr>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r>
      <w:tr w:rsidR="00752851" w:rsidTr="00907EAA">
        <w:trPr>
          <w:trHeight w:val="393"/>
        </w:trPr>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r>
      <w:tr w:rsidR="00752851" w:rsidTr="00907EAA">
        <w:trPr>
          <w:trHeight w:val="393"/>
        </w:trPr>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r>
      <w:tr w:rsidR="00752851" w:rsidTr="00907EAA">
        <w:trPr>
          <w:trHeight w:val="393"/>
        </w:trPr>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r>
      <w:tr w:rsidR="00752851" w:rsidTr="00907EAA">
        <w:trPr>
          <w:trHeight w:val="393"/>
        </w:trPr>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r>
      <w:tr w:rsidR="00752851" w:rsidTr="00907EAA">
        <w:trPr>
          <w:trHeight w:val="393"/>
        </w:trPr>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c>
          <w:tcPr>
            <w:tcW w:w="1914" w:type="dxa"/>
            <w:tcBorders>
              <w:top w:val="single" w:sz="4" w:space="0" w:color="000000"/>
              <w:left w:val="single" w:sz="4" w:space="0" w:color="000000"/>
              <w:bottom w:val="single" w:sz="4" w:space="0" w:color="000000"/>
              <w:right w:val="single" w:sz="4" w:space="0" w:color="000000"/>
            </w:tcBorders>
          </w:tcPr>
          <w:p w:rsidR="00752851" w:rsidRDefault="00752851" w:rsidP="00907EAA">
            <w:pPr>
              <w:rPr>
                <w:rFonts w:ascii="Arial" w:hAnsi="Arial" w:cs="Arial"/>
                <w:b/>
                <w:bCs/>
                <w:color w:val="000000"/>
              </w:rPr>
            </w:pPr>
          </w:p>
        </w:tc>
      </w:tr>
    </w:tbl>
    <w:p w:rsidR="00752851" w:rsidRDefault="00752851" w:rsidP="00752851">
      <w:pPr>
        <w:rPr>
          <w:b/>
          <w:sz w:val="28"/>
          <w:szCs w:val="28"/>
        </w:rPr>
      </w:pPr>
    </w:p>
    <w:p w:rsidR="00752851" w:rsidRDefault="00752851" w:rsidP="00752851">
      <w:pPr>
        <w:pStyle w:val="A-head"/>
      </w:pPr>
      <w:r>
        <w:t>Discussion questions</w:t>
      </w:r>
    </w:p>
    <w:p w:rsidR="00752851" w:rsidRDefault="00752851" w:rsidP="00752851">
      <w:pPr>
        <w:pStyle w:val="Bulletlist"/>
      </w:pPr>
      <w:r>
        <w:t>In your experience, which is the most frequently used theoretical approach? What are the reasons for this?</w:t>
      </w:r>
    </w:p>
    <w:p w:rsidR="00752851" w:rsidRDefault="00752851" w:rsidP="00752851">
      <w:pPr>
        <w:pStyle w:val="Bulletlist"/>
      </w:pPr>
      <w:r>
        <w:t>In your opinion can a change strategy that combines both a top-down approach and the development of organizational capability (Theory E &amp; Theory O) offer a better chance of achieving sustained high performance than one that focuses one either results or capability. Why?</w:t>
      </w:r>
    </w:p>
    <w:p w:rsidR="00752851" w:rsidRDefault="00752851" w:rsidP="00752851">
      <w:pPr>
        <w:pStyle w:val="A-head"/>
        <w:rPr>
          <w:szCs w:val="24"/>
        </w:rPr>
      </w:pPr>
      <w:r>
        <w:t>Tips for running the class</w:t>
      </w:r>
    </w:p>
    <w:p w:rsidR="00752851" w:rsidRDefault="00752851" w:rsidP="00752851">
      <w:pPr>
        <w:pStyle w:val="Bulletlist"/>
      </w:pPr>
      <w:r>
        <w:t xml:space="preserve"> This class can start by looking at the populist and academic views of change.</w:t>
      </w:r>
    </w:p>
    <w:p w:rsidR="00752851" w:rsidRDefault="00752851" w:rsidP="00752851">
      <w:pPr>
        <w:pStyle w:val="Bulletlist"/>
      </w:pPr>
      <w:r>
        <w:t>Showing the video from YouTube about ‘Who moved my cheese’ is a good way to stimulate debate about how the populist approach to change over simplifies the concept of change.</w:t>
      </w:r>
    </w:p>
    <w:p w:rsidR="00752851" w:rsidRDefault="00752851" w:rsidP="00752851">
      <w:pPr>
        <w:pStyle w:val="Bulletlist"/>
      </w:pPr>
      <w:r>
        <w:t>When discussing the planned approach to change – walk through Kotter’s model with the students. Ask them what are the benefits and disadvantages of the linear approach. There are also a number of videos by Kotter on YouTube which can be used to illustrate his step model.</w:t>
      </w:r>
    </w:p>
    <w:p w:rsidR="00752851" w:rsidRDefault="00752851" w:rsidP="00752851">
      <w:pPr>
        <w:pStyle w:val="Bulletlist"/>
      </w:pPr>
      <w:r>
        <w:t>Ask students to discuss the question about whether or not change is a neat, rationale, linear process, and to justify the reasons for their answer.</w:t>
      </w:r>
    </w:p>
    <w:p w:rsidR="00752851" w:rsidRDefault="00752851" w:rsidP="00752851">
      <w:pPr>
        <w:pStyle w:val="Bulletlist"/>
      </w:pPr>
      <w:r>
        <w:t>Use the cases in the book to highlight the differences between incremental (John Lewis case) and transformational (Alibaba case) change.</w:t>
      </w:r>
    </w:p>
    <w:p w:rsidR="00752851" w:rsidRDefault="00752851" w:rsidP="00752851">
      <w:pPr>
        <w:pStyle w:val="A-head"/>
      </w:pPr>
      <w:r>
        <w:t>Online resources</w:t>
      </w:r>
    </w:p>
    <w:p w:rsidR="00752851" w:rsidRDefault="00752851" w:rsidP="00752851">
      <w:pPr>
        <w:pStyle w:val="BodyText1"/>
      </w:pPr>
      <w:r>
        <w:lastRenderedPageBreak/>
        <w:t>YouTube and Ted Talks are invaluable resources for studying change in organizations. Listed below are some which I found useful in delivering Chapter 1</w:t>
      </w:r>
    </w:p>
    <w:p w:rsidR="00752851" w:rsidRDefault="00752851" w:rsidP="00752851">
      <w:pPr>
        <w:pStyle w:val="BodyText1"/>
        <w:rPr>
          <w:rStyle w:val="Hyperlink"/>
          <w:rFonts w:ascii="Times New Roman" w:hAnsi="Times New Roman"/>
          <w:sz w:val="24"/>
        </w:rPr>
      </w:pPr>
      <w:r>
        <w:t xml:space="preserve">On YouTube: Who moved my cheese – </w:t>
      </w:r>
      <w:proofErr w:type="gramStart"/>
      <w:r>
        <w:t>http://www.youtube.com/watch?v=91YxXk3fmw8</w:t>
      </w:r>
      <w:proofErr w:type="gramEnd"/>
    </w:p>
    <w:p w:rsidR="00752851" w:rsidRDefault="00752851" w:rsidP="00752851">
      <w:pPr>
        <w:pStyle w:val="BodyText1"/>
        <w:rPr>
          <w:rStyle w:val="Hyperlink"/>
          <w:color w:val="000000"/>
        </w:rPr>
      </w:pPr>
      <w:r>
        <w:t>This can be used to demonstrate the populist approach to change.</w:t>
      </w:r>
    </w:p>
    <w:p w:rsidR="00752851" w:rsidRDefault="00752851" w:rsidP="00752851">
      <w:pPr>
        <w:pStyle w:val="BodyText1"/>
        <w:rPr>
          <w:rStyle w:val="Hyperlink"/>
          <w:rFonts w:ascii="Times New Roman" w:hAnsi="Times New Roman"/>
          <w:sz w:val="24"/>
        </w:rPr>
      </w:pPr>
      <w:r>
        <w:t xml:space="preserve">Harvard Business School Professor John Kotter talks about his book </w:t>
      </w:r>
      <w:r w:rsidRPr="00BC611C">
        <w:rPr>
          <w:i/>
          <w:iCs/>
        </w:rPr>
        <w:t>Our Iceberg Is Melting</w:t>
      </w:r>
    </w:p>
    <w:p w:rsidR="00752851" w:rsidRDefault="00752851" w:rsidP="00752851">
      <w:pPr>
        <w:pStyle w:val="BodyText1"/>
      </w:pPr>
      <w:r>
        <w:t xml:space="preserve">On YouTube: John P Kotter, Our Iceberg Is </w:t>
      </w:r>
      <w:proofErr w:type="gramStart"/>
      <w:r>
        <w:t>Melting</w:t>
      </w:r>
      <w:proofErr w:type="gramEnd"/>
      <w:r>
        <w:t xml:space="preserve"> www.youtube.com/watch?v=Gh2xc6vXQgk&amp;list=PLACBBC80BA6A74917</w:t>
      </w:r>
    </w:p>
    <w:p w:rsidR="00752851" w:rsidRDefault="00752851" w:rsidP="00752851">
      <w:pPr>
        <w:pStyle w:val="BodyText1"/>
      </w:pPr>
      <w:r>
        <w:t>This can be used to demonstrate the populist approach to change.</w:t>
      </w:r>
    </w:p>
    <w:p w:rsidR="00752851" w:rsidRDefault="00752851" w:rsidP="00752851">
      <w:pPr>
        <w:pStyle w:val="BodyText1"/>
      </w:pPr>
      <w:r>
        <w:t>To illustrate incremental change for individuals a fun video to show is the following:</w:t>
      </w:r>
    </w:p>
    <w:p w:rsidR="00752851" w:rsidRDefault="00752851" w:rsidP="00752851">
      <w:pPr>
        <w:pStyle w:val="BodyText1"/>
      </w:pPr>
      <w:r>
        <w:t xml:space="preserve">BJ </w:t>
      </w:r>
      <w:proofErr w:type="spellStart"/>
      <w:r>
        <w:t>Fogg</w:t>
      </w:r>
      <w:proofErr w:type="spellEnd"/>
      <w:r>
        <w:t xml:space="preserve"> shows us that the key to lasting change does not lie in planning big, monumental changes, but in thinking really, really small.</w:t>
      </w:r>
    </w:p>
    <w:p w:rsidR="00752851" w:rsidRDefault="00752851" w:rsidP="00752851">
      <w:pPr>
        <w:pStyle w:val="BodyText1"/>
      </w:pPr>
      <w:r>
        <w:t xml:space="preserve">On YouTube: Forget big </w:t>
      </w:r>
      <w:proofErr w:type="gramStart"/>
      <w:r>
        <w:t>change,</w:t>
      </w:r>
      <w:proofErr w:type="gramEnd"/>
      <w:r>
        <w:t xml:space="preserve"> start with a tiny habit – BJ </w:t>
      </w:r>
      <w:proofErr w:type="spellStart"/>
      <w:r>
        <w:t>Fogg</w:t>
      </w:r>
      <w:proofErr w:type="spellEnd"/>
      <w:r>
        <w:t xml:space="preserve"> at </w:t>
      </w:r>
      <w:proofErr w:type="spellStart"/>
      <w:r>
        <w:t>TEDxFremont</w:t>
      </w:r>
      <w:proofErr w:type="spellEnd"/>
      <w:r>
        <w:t xml:space="preserve"> www.youtube.com/watch?v=AdKUJxjn-R8</w:t>
      </w:r>
    </w:p>
    <w:p w:rsidR="00752851" w:rsidRDefault="00752851" w:rsidP="00752851">
      <w:pPr>
        <w:pStyle w:val="A-head"/>
      </w:pPr>
      <w:r>
        <w:t>Suggested exam or assignment questions</w:t>
      </w:r>
    </w:p>
    <w:p w:rsidR="00752851" w:rsidRDefault="00752851" w:rsidP="00752851">
      <w:pPr>
        <w:pStyle w:val="Bulletlist"/>
      </w:pPr>
      <w:r>
        <w:t>Compare and contrast two of the theories of change. Identify the strengths and weakness of each.</w:t>
      </w:r>
    </w:p>
    <w:p w:rsidR="00752851" w:rsidRDefault="00752851" w:rsidP="00752851">
      <w:pPr>
        <w:pStyle w:val="Bulletlist"/>
      </w:pPr>
      <w:r>
        <w:t>Critically evaluate if change can be planned in a linear, neat way.</w:t>
      </w:r>
    </w:p>
    <w:p w:rsidR="00752851" w:rsidRDefault="00752851" w:rsidP="00752851">
      <w:pPr>
        <w:pStyle w:val="Bulletlist"/>
      </w:pPr>
      <w:r>
        <w:t>Critically assess the proposition that radical transformational change is triggered because managers fail to create continuously adaptive organizations.</w:t>
      </w:r>
    </w:p>
    <w:p w:rsidR="00752851" w:rsidRDefault="00752851" w:rsidP="00752851"/>
    <w:p w:rsidR="00752851" w:rsidRDefault="00752851" w:rsidP="00752851"/>
    <w:p w:rsidR="00752851" w:rsidRDefault="00752851" w:rsidP="00752851"/>
    <w:p w:rsidR="00752851" w:rsidRDefault="00752851" w:rsidP="00752851"/>
    <w:p w:rsidR="00752851" w:rsidRDefault="00752851" w:rsidP="00752851">
      <w:pPr>
        <w:pStyle w:val="BodyText1"/>
      </w:pPr>
      <w:r>
        <w:t>© Julie Hodges and Roger Gill 2015</w:t>
      </w:r>
    </w:p>
    <w:p w:rsidR="00B23D62" w:rsidRDefault="00B23D62" w:rsidP="00752851">
      <w:bookmarkStart w:id="1" w:name="_GoBack"/>
      <w:bookmarkEnd w:id="1"/>
    </w:p>
    <w:sectPr w:rsidR="00B23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A5" w:rsidRDefault="00052EA5" w:rsidP="00752851">
      <w:r>
        <w:separator/>
      </w:r>
    </w:p>
  </w:endnote>
  <w:endnote w:type="continuationSeparator" w:id="0">
    <w:p w:rsidR="00052EA5" w:rsidRDefault="00052EA5" w:rsidP="0075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A5" w:rsidRDefault="00052EA5" w:rsidP="00752851">
      <w:r>
        <w:separator/>
      </w:r>
    </w:p>
  </w:footnote>
  <w:footnote w:type="continuationSeparator" w:id="0">
    <w:p w:rsidR="00052EA5" w:rsidRDefault="00052EA5" w:rsidP="00752851">
      <w:r>
        <w:continuationSeparator/>
      </w:r>
    </w:p>
  </w:footnote>
  <w:footnote w:id="1">
    <w:p w:rsidR="00752851" w:rsidRDefault="00752851" w:rsidP="00752851">
      <w:pPr>
        <w:pStyle w:val="FootnoteText1"/>
      </w:pPr>
      <w:r>
        <w:rPr>
          <w:rStyle w:val="FootnoteReference"/>
          <w:rFonts w:eastAsia="Calibri"/>
          <w:sz w:val="16"/>
          <w:szCs w:val="16"/>
        </w:rPr>
        <w:footnoteRef/>
      </w:r>
      <w:r>
        <w:t xml:space="preserve"> Nadler, D.A. and </w:t>
      </w:r>
      <w:proofErr w:type="spellStart"/>
      <w:r>
        <w:t>Tushman</w:t>
      </w:r>
      <w:proofErr w:type="spellEnd"/>
      <w:r>
        <w:t xml:space="preserve">, M.L. (1989) ‘Organizational frame bending: Principles for managing reorientation’, </w:t>
      </w:r>
      <w:r>
        <w:rPr>
          <w:i/>
          <w:iCs/>
        </w:rPr>
        <w:t>Academy of Management Executive</w:t>
      </w:r>
      <w:r>
        <w:t>, 3(3): 194–204.</w:t>
      </w:r>
    </w:p>
  </w:footnote>
  <w:footnote w:id="2">
    <w:p w:rsidR="00752851" w:rsidRDefault="00752851" w:rsidP="00752851">
      <w:pPr>
        <w:pStyle w:val="FootnoteText1"/>
      </w:pPr>
      <w:r>
        <w:rPr>
          <w:rStyle w:val="FootnoteReference"/>
          <w:rFonts w:eastAsia="Calibri"/>
          <w:sz w:val="16"/>
          <w:szCs w:val="16"/>
        </w:rPr>
        <w:footnoteRef/>
      </w:r>
      <w:r>
        <w:t xml:space="preserve"> Beer, M., </w:t>
      </w:r>
      <w:proofErr w:type="spellStart"/>
      <w:r>
        <w:t>Eisenstat</w:t>
      </w:r>
      <w:proofErr w:type="spellEnd"/>
      <w:r>
        <w:t xml:space="preserve">, R.A. and Spector, B. (1990) </w:t>
      </w:r>
      <w:proofErr w:type="gramStart"/>
      <w:r>
        <w:rPr>
          <w:i/>
          <w:iCs/>
        </w:rPr>
        <w:t>The</w:t>
      </w:r>
      <w:proofErr w:type="gramEnd"/>
      <w:r>
        <w:rPr>
          <w:i/>
          <w:iCs/>
        </w:rPr>
        <w:t xml:space="preserve"> Critical Path to Corporate Renewal</w:t>
      </w:r>
      <w:r>
        <w:t>. Cambridge, MA: Harvard Business School Press.</w:t>
      </w:r>
    </w:p>
  </w:footnote>
  <w:footnote w:id="3">
    <w:p w:rsidR="00752851" w:rsidRDefault="00752851" w:rsidP="00752851">
      <w:pPr>
        <w:pStyle w:val="FootnoteText1"/>
      </w:pPr>
      <w:r>
        <w:rPr>
          <w:rStyle w:val="FootnoteReference"/>
          <w:rFonts w:eastAsia="Calibri"/>
          <w:sz w:val="16"/>
          <w:szCs w:val="16"/>
        </w:rPr>
        <w:footnoteRef/>
      </w:r>
      <w:r>
        <w:t xml:space="preserve"> Kotter, J.P. (1995) ‘Leading change: Why transformation efforts fail’, </w:t>
      </w:r>
      <w:r>
        <w:rPr>
          <w:i/>
          <w:iCs/>
        </w:rPr>
        <w:t>Harvard Business Review</w:t>
      </w:r>
      <w:r>
        <w:t>, May-June: 11–16.</w:t>
      </w:r>
    </w:p>
    <w:p w:rsidR="00752851" w:rsidRDefault="00752851" w:rsidP="0075285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D5DBA"/>
    <w:multiLevelType w:val="hybridMultilevel"/>
    <w:tmpl w:val="42D8E194"/>
    <w:lvl w:ilvl="0" w:tplc="937A4BCA">
      <w:start w:val="1"/>
      <w:numFmt w:val="bullet"/>
      <w:pStyle w:val="Bulletlis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51"/>
    <w:rsid w:val="00052EA5"/>
    <w:rsid w:val="00752851"/>
    <w:rsid w:val="00B2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51"/>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752851"/>
    <w:pPr>
      <w:spacing w:before="80" w:after="80" w:line="360" w:lineRule="auto"/>
      <w:jc w:val="both"/>
    </w:pPr>
    <w:rPr>
      <w:rFonts w:ascii="Arial" w:hAnsi="Arial"/>
      <w:sz w:val="18"/>
      <w:szCs w:val="24"/>
    </w:rPr>
  </w:style>
  <w:style w:type="paragraph" w:customStyle="1" w:styleId="A-head">
    <w:name w:val="A-head"/>
    <w:basedOn w:val="Normal"/>
    <w:qFormat/>
    <w:rsid w:val="00752851"/>
    <w:pPr>
      <w:spacing w:before="480" w:line="360" w:lineRule="auto"/>
      <w:jc w:val="both"/>
    </w:pPr>
    <w:rPr>
      <w:rFonts w:ascii="Arial" w:hAnsi="Arial"/>
      <w:b/>
      <w:color w:val="1F497D"/>
      <w:spacing w:val="10"/>
      <w:szCs w:val="32"/>
    </w:rPr>
  </w:style>
  <w:style w:type="paragraph" w:customStyle="1" w:styleId="Chnumber">
    <w:name w:val="Ch number"/>
    <w:basedOn w:val="Normal"/>
    <w:qFormat/>
    <w:rsid w:val="00752851"/>
    <w:pPr>
      <w:spacing w:after="360" w:line="480" w:lineRule="auto"/>
      <w:jc w:val="center"/>
    </w:pPr>
    <w:rPr>
      <w:rFonts w:ascii="Arial" w:hAnsi="Arial"/>
      <w:color w:val="4F81BD"/>
      <w:sz w:val="36"/>
      <w:szCs w:val="40"/>
    </w:rPr>
  </w:style>
  <w:style w:type="paragraph" w:customStyle="1" w:styleId="Bulletlist">
    <w:name w:val="Bullet list"/>
    <w:basedOn w:val="Normal"/>
    <w:qFormat/>
    <w:rsid w:val="00752851"/>
    <w:pPr>
      <w:numPr>
        <w:numId w:val="1"/>
      </w:numPr>
      <w:spacing w:before="120" w:after="240"/>
      <w:ind w:left="1173" w:hanging="357"/>
      <w:textAlignment w:val="baseline"/>
    </w:pPr>
    <w:rPr>
      <w:rFonts w:ascii="Arial" w:hAnsi="Arial"/>
      <w:color w:val="000000"/>
      <w:sz w:val="18"/>
      <w:szCs w:val="24"/>
    </w:rPr>
  </w:style>
  <w:style w:type="paragraph" w:customStyle="1" w:styleId="ChapterHeading">
    <w:name w:val="Chapter Heading"/>
    <w:basedOn w:val="Chnumber"/>
    <w:qFormat/>
    <w:rsid w:val="00752851"/>
    <w:pPr>
      <w:spacing w:after="240"/>
    </w:pPr>
  </w:style>
  <w:style w:type="paragraph" w:customStyle="1" w:styleId="FootnoteText1">
    <w:name w:val="Footnote Text1"/>
    <w:basedOn w:val="BodyText1"/>
    <w:qFormat/>
    <w:rsid w:val="00752851"/>
    <w:pPr>
      <w:spacing w:after="120"/>
    </w:pPr>
    <w:rPr>
      <w:color w:val="292929"/>
      <w:szCs w:val="22"/>
    </w:rPr>
  </w:style>
  <w:style w:type="paragraph" w:styleId="FootnoteText">
    <w:name w:val="footnote text"/>
    <w:basedOn w:val="Normal"/>
    <w:link w:val="FootnoteTextChar"/>
    <w:semiHidden/>
    <w:rsid w:val="00752851"/>
    <w:rPr>
      <w:sz w:val="20"/>
    </w:rPr>
  </w:style>
  <w:style w:type="character" w:customStyle="1" w:styleId="FootnoteTextChar">
    <w:name w:val="Footnote Text Char"/>
    <w:basedOn w:val="DefaultParagraphFont"/>
    <w:link w:val="FootnoteText"/>
    <w:semiHidden/>
    <w:rsid w:val="00752851"/>
    <w:rPr>
      <w:rFonts w:ascii="Times New Roman" w:eastAsia="Times New Roman" w:hAnsi="Times New Roman" w:cs="Times New Roman"/>
      <w:sz w:val="20"/>
      <w:szCs w:val="20"/>
    </w:rPr>
  </w:style>
  <w:style w:type="character" w:styleId="FootnoteReference">
    <w:name w:val="footnote reference"/>
    <w:semiHidden/>
    <w:rsid w:val="00752851"/>
    <w:rPr>
      <w:vertAlign w:val="superscript"/>
    </w:rPr>
  </w:style>
  <w:style w:type="character" w:styleId="Hyperlink">
    <w:name w:val="Hyperlink"/>
    <w:semiHidden/>
    <w:rsid w:val="007528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51"/>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752851"/>
    <w:pPr>
      <w:spacing w:before="80" w:after="80" w:line="360" w:lineRule="auto"/>
      <w:jc w:val="both"/>
    </w:pPr>
    <w:rPr>
      <w:rFonts w:ascii="Arial" w:hAnsi="Arial"/>
      <w:sz w:val="18"/>
      <w:szCs w:val="24"/>
    </w:rPr>
  </w:style>
  <w:style w:type="paragraph" w:customStyle="1" w:styleId="A-head">
    <w:name w:val="A-head"/>
    <w:basedOn w:val="Normal"/>
    <w:qFormat/>
    <w:rsid w:val="00752851"/>
    <w:pPr>
      <w:spacing w:before="480" w:line="360" w:lineRule="auto"/>
      <w:jc w:val="both"/>
    </w:pPr>
    <w:rPr>
      <w:rFonts w:ascii="Arial" w:hAnsi="Arial"/>
      <w:b/>
      <w:color w:val="1F497D"/>
      <w:spacing w:val="10"/>
      <w:szCs w:val="32"/>
    </w:rPr>
  </w:style>
  <w:style w:type="paragraph" w:customStyle="1" w:styleId="Chnumber">
    <w:name w:val="Ch number"/>
    <w:basedOn w:val="Normal"/>
    <w:qFormat/>
    <w:rsid w:val="00752851"/>
    <w:pPr>
      <w:spacing w:after="360" w:line="480" w:lineRule="auto"/>
      <w:jc w:val="center"/>
    </w:pPr>
    <w:rPr>
      <w:rFonts w:ascii="Arial" w:hAnsi="Arial"/>
      <w:color w:val="4F81BD"/>
      <w:sz w:val="36"/>
      <w:szCs w:val="40"/>
    </w:rPr>
  </w:style>
  <w:style w:type="paragraph" w:customStyle="1" w:styleId="Bulletlist">
    <w:name w:val="Bullet list"/>
    <w:basedOn w:val="Normal"/>
    <w:qFormat/>
    <w:rsid w:val="00752851"/>
    <w:pPr>
      <w:numPr>
        <w:numId w:val="1"/>
      </w:numPr>
      <w:spacing w:before="120" w:after="240"/>
      <w:ind w:left="1173" w:hanging="357"/>
      <w:textAlignment w:val="baseline"/>
    </w:pPr>
    <w:rPr>
      <w:rFonts w:ascii="Arial" w:hAnsi="Arial"/>
      <w:color w:val="000000"/>
      <w:sz w:val="18"/>
      <w:szCs w:val="24"/>
    </w:rPr>
  </w:style>
  <w:style w:type="paragraph" w:customStyle="1" w:styleId="ChapterHeading">
    <w:name w:val="Chapter Heading"/>
    <w:basedOn w:val="Chnumber"/>
    <w:qFormat/>
    <w:rsid w:val="00752851"/>
    <w:pPr>
      <w:spacing w:after="240"/>
    </w:pPr>
  </w:style>
  <w:style w:type="paragraph" w:customStyle="1" w:styleId="FootnoteText1">
    <w:name w:val="Footnote Text1"/>
    <w:basedOn w:val="BodyText1"/>
    <w:qFormat/>
    <w:rsid w:val="00752851"/>
    <w:pPr>
      <w:spacing w:after="120"/>
    </w:pPr>
    <w:rPr>
      <w:color w:val="292929"/>
      <w:szCs w:val="22"/>
    </w:rPr>
  </w:style>
  <w:style w:type="paragraph" w:styleId="FootnoteText">
    <w:name w:val="footnote text"/>
    <w:basedOn w:val="Normal"/>
    <w:link w:val="FootnoteTextChar"/>
    <w:semiHidden/>
    <w:rsid w:val="00752851"/>
    <w:rPr>
      <w:sz w:val="20"/>
    </w:rPr>
  </w:style>
  <w:style w:type="character" w:customStyle="1" w:styleId="FootnoteTextChar">
    <w:name w:val="Footnote Text Char"/>
    <w:basedOn w:val="DefaultParagraphFont"/>
    <w:link w:val="FootnoteText"/>
    <w:semiHidden/>
    <w:rsid w:val="00752851"/>
    <w:rPr>
      <w:rFonts w:ascii="Times New Roman" w:eastAsia="Times New Roman" w:hAnsi="Times New Roman" w:cs="Times New Roman"/>
      <w:sz w:val="20"/>
      <w:szCs w:val="20"/>
    </w:rPr>
  </w:style>
  <w:style w:type="character" w:styleId="FootnoteReference">
    <w:name w:val="footnote reference"/>
    <w:semiHidden/>
    <w:rsid w:val="00752851"/>
    <w:rPr>
      <w:vertAlign w:val="superscript"/>
    </w:rPr>
  </w:style>
  <w:style w:type="character" w:styleId="Hyperlink">
    <w:name w:val="Hyperlink"/>
    <w:semiHidden/>
    <w:rsid w:val="007528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cbrazendale</dc:creator>
  <cp:lastModifiedBy>cbrazendale</cp:lastModifiedBy>
  <cp:revision>1</cp:revision>
  <dcterms:created xsi:type="dcterms:W3CDTF">2014-12-09T10:07:00Z</dcterms:created>
  <dcterms:modified xsi:type="dcterms:W3CDTF">2014-12-09T10:07:00Z</dcterms:modified>
</cp:coreProperties>
</file>