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BA" w:rsidRPr="006B2859" w:rsidRDefault="00150DBA" w:rsidP="00150DBA">
      <w:pPr>
        <w:pStyle w:val="Title"/>
      </w:pPr>
      <w:r w:rsidRPr="004F3EBB">
        <w:rPr>
          <w:rStyle w:val="Strong"/>
          <w:b w:val="0"/>
          <w:bCs w:val="0"/>
        </w:rPr>
        <w:t>Module Attachments</w:t>
      </w:r>
    </w:p>
    <w:p w:rsidR="00150DBA" w:rsidRPr="00DE0465" w:rsidRDefault="00150DBA" w:rsidP="00150DBA">
      <w:pPr>
        <w:rPr>
          <w:b/>
        </w:rPr>
      </w:pPr>
      <w:r>
        <w:rPr>
          <w:b/>
        </w:rPr>
        <w:t>News Release</w:t>
      </w:r>
      <w:bookmarkStart w:id="0" w:name="_GoBack"/>
      <w:bookmarkEnd w:id="0"/>
    </w:p>
    <w:p w:rsidR="00150DBA" w:rsidRDefault="00150DBA" w:rsidP="00150DBA">
      <w:r>
        <w:t>Numbers Up for Accidents at Intersections</w:t>
      </w:r>
    </w:p>
    <w:p w:rsidR="00150DBA" w:rsidRDefault="00150DBA" w:rsidP="00150DBA">
      <w:r>
        <w:t>1/5/2018 12:13:58 PM</w:t>
      </w:r>
    </w:p>
    <w:p w:rsidR="00150DBA" w:rsidRDefault="00150DBA" w:rsidP="00150DBA">
      <w:r>
        <w:t>Drivers who run red lights are to blame for many of the accidents at the city's most dangerous intersections, the Center City Police Department said today. The city is considering whether to install red light cameras at high-risk intersections in an effort to reduce traffic accidents.</w:t>
      </w:r>
    </w:p>
    <w:p w:rsidR="00150DBA" w:rsidRDefault="00150DBA" w:rsidP="00150DBA">
      <w:r>
        <w:t>Last year, the Police Department attacked the most dangerous intersections with a combination of extra patrols and special enforcement equipment, including radar. However, the accident totals at several of these intersections were higher in 2013 than in 2012.</w:t>
      </w:r>
    </w:p>
    <w:p w:rsidR="00150DBA" w:rsidRDefault="00150DBA" w:rsidP="00150DBA">
      <w:r>
        <w:t>Excessive speed is a factor in many crashes at these intersections. "Please, always drive the speed limit," said Traffic Sergeant John Bowman. "The signs are there for a reason."</w:t>
      </w:r>
    </w:p>
    <w:p w:rsidR="00150DBA" w:rsidRDefault="00150DBA" w:rsidP="00150DBA">
      <w:r>
        <w:t>Traffic fatalities also were up 45 percent in Center City last year. There were 20 fatalities in 2013; in 2012 there were nine.</w:t>
      </w:r>
    </w:p>
    <w:p w:rsidR="00150DBA" w:rsidRDefault="00150DBA" w:rsidP="00150DBA">
      <w:r>
        <w:t>The intersection with most accidents last year, Belvidere and Leigh Streets, was the same as the year before.</w:t>
      </w:r>
    </w:p>
    <w:p w:rsidR="00150DBA" w:rsidRDefault="00150DBA" w:rsidP="00150DBA">
      <w:r>
        <w:t>The worst intersections for accidents in the city are mostly north of the river. Broad Street has a mention in four of the top 10 intersections. Following is a list of the 10 worst intersections with the number of accidents for 2013:</w:t>
      </w:r>
    </w:p>
    <w:tbl>
      <w:tblPr>
        <w:tblStyle w:val="TableGrid"/>
        <w:tblW w:w="0" w:type="auto"/>
        <w:tblLook w:val="04A0" w:firstRow="1" w:lastRow="0" w:firstColumn="1" w:lastColumn="0" w:noHBand="0" w:noVBand="1"/>
      </w:tblPr>
      <w:tblGrid>
        <w:gridCol w:w="4503"/>
        <w:gridCol w:w="4487"/>
      </w:tblGrid>
      <w:tr w:rsidR="00150DBA" w:rsidTr="007B5BD2">
        <w:tc>
          <w:tcPr>
            <w:tcW w:w="4675" w:type="dxa"/>
          </w:tcPr>
          <w:p w:rsidR="00150DBA" w:rsidRPr="00DE0465" w:rsidRDefault="00150DBA" w:rsidP="007B5BD2">
            <w:pPr>
              <w:jc w:val="center"/>
              <w:rPr>
                <w:b/>
              </w:rPr>
            </w:pPr>
            <w:r w:rsidRPr="00DE0465">
              <w:rPr>
                <w:b/>
              </w:rPr>
              <w:t>Intersections</w:t>
            </w:r>
          </w:p>
        </w:tc>
        <w:tc>
          <w:tcPr>
            <w:tcW w:w="4675" w:type="dxa"/>
          </w:tcPr>
          <w:p w:rsidR="00150DBA" w:rsidRPr="00DE0465" w:rsidRDefault="00150DBA" w:rsidP="007B5BD2">
            <w:pPr>
              <w:jc w:val="center"/>
              <w:rPr>
                <w:b/>
              </w:rPr>
            </w:pPr>
            <w:r w:rsidRPr="00DE0465">
              <w:rPr>
                <w:b/>
              </w:rPr>
              <w:t>Accidents</w:t>
            </w:r>
          </w:p>
        </w:tc>
      </w:tr>
      <w:tr w:rsidR="00150DBA" w:rsidTr="007B5BD2">
        <w:tc>
          <w:tcPr>
            <w:tcW w:w="4675" w:type="dxa"/>
          </w:tcPr>
          <w:p w:rsidR="00150DBA" w:rsidRDefault="00150DBA" w:rsidP="007B5BD2">
            <w:r>
              <w:t>1. Belvidere and Leigh</w:t>
            </w:r>
          </w:p>
        </w:tc>
        <w:tc>
          <w:tcPr>
            <w:tcW w:w="4675" w:type="dxa"/>
          </w:tcPr>
          <w:p w:rsidR="00150DBA" w:rsidRDefault="00150DBA" w:rsidP="007B5BD2">
            <w:pPr>
              <w:jc w:val="center"/>
            </w:pPr>
            <w:r>
              <w:t>27</w:t>
            </w:r>
          </w:p>
        </w:tc>
      </w:tr>
      <w:tr w:rsidR="00150DBA" w:rsidTr="007B5BD2">
        <w:tc>
          <w:tcPr>
            <w:tcW w:w="4675" w:type="dxa"/>
          </w:tcPr>
          <w:p w:rsidR="00150DBA" w:rsidRDefault="00150DBA" w:rsidP="007B5BD2">
            <w:r>
              <w:t>2. Belvidere and Broad</w:t>
            </w:r>
          </w:p>
        </w:tc>
        <w:tc>
          <w:tcPr>
            <w:tcW w:w="4675" w:type="dxa"/>
          </w:tcPr>
          <w:p w:rsidR="00150DBA" w:rsidRDefault="00150DBA" w:rsidP="007B5BD2">
            <w:pPr>
              <w:jc w:val="center"/>
            </w:pPr>
            <w:r>
              <w:t>20</w:t>
            </w:r>
          </w:p>
        </w:tc>
      </w:tr>
      <w:tr w:rsidR="00150DBA" w:rsidTr="007B5BD2">
        <w:tc>
          <w:tcPr>
            <w:tcW w:w="4675" w:type="dxa"/>
          </w:tcPr>
          <w:p w:rsidR="00150DBA" w:rsidRDefault="00150DBA" w:rsidP="007B5BD2">
            <w:r>
              <w:t>3. Hamilton and Broad</w:t>
            </w:r>
          </w:p>
        </w:tc>
        <w:tc>
          <w:tcPr>
            <w:tcW w:w="4675" w:type="dxa"/>
          </w:tcPr>
          <w:p w:rsidR="00150DBA" w:rsidRDefault="00150DBA" w:rsidP="007B5BD2">
            <w:pPr>
              <w:jc w:val="center"/>
            </w:pPr>
            <w:r>
              <w:t>14</w:t>
            </w:r>
          </w:p>
        </w:tc>
      </w:tr>
      <w:tr w:rsidR="00150DBA" w:rsidTr="007B5BD2">
        <w:tc>
          <w:tcPr>
            <w:tcW w:w="4675" w:type="dxa"/>
          </w:tcPr>
          <w:p w:rsidR="00150DBA" w:rsidRDefault="00150DBA" w:rsidP="007B5BD2">
            <w:r>
              <w:t>4. Allen and Broad</w:t>
            </w:r>
          </w:p>
        </w:tc>
        <w:tc>
          <w:tcPr>
            <w:tcW w:w="4675" w:type="dxa"/>
          </w:tcPr>
          <w:p w:rsidR="00150DBA" w:rsidRDefault="00150DBA" w:rsidP="007B5BD2">
            <w:pPr>
              <w:jc w:val="center"/>
            </w:pPr>
            <w:r>
              <w:t>14</w:t>
            </w:r>
          </w:p>
        </w:tc>
      </w:tr>
      <w:tr w:rsidR="00150DBA" w:rsidTr="007B5BD2">
        <w:tc>
          <w:tcPr>
            <w:tcW w:w="4675" w:type="dxa"/>
          </w:tcPr>
          <w:p w:rsidR="00150DBA" w:rsidRDefault="00150DBA" w:rsidP="007B5BD2">
            <w:r>
              <w:t xml:space="preserve">5. </w:t>
            </w:r>
            <w:proofErr w:type="spellStart"/>
            <w:r>
              <w:t>Chippenham</w:t>
            </w:r>
            <w:proofErr w:type="spellEnd"/>
            <w:r>
              <w:t xml:space="preserve"> and Forest Hill</w:t>
            </w:r>
          </w:p>
        </w:tc>
        <w:tc>
          <w:tcPr>
            <w:tcW w:w="4675" w:type="dxa"/>
          </w:tcPr>
          <w:p w:rsidR="00150DBA" w:rsidRDefault="00150DBA" w:rsidP="007B5BD2">
            <w:pPr>
              <w:jc w:val="center"/>
            </w:pPr>
            <w:r>
              <w:t>13</w:t>
            </w:r>
          </w:p>
        </w:tc>
      </w:tr>
      <w:tr w:rsidR="00150DBA" w:rsidTr="007B5BD2">
        <w:tc>
          <w:tcPr>
            <w:tcW w:w="4675" w:type="dxa"/>
          </w:tcPr>
          <w:p w:rsidR="00150DBA" w:rsidRDefault="00150DBA" w:rsidP="007B5BD2">
            <w:r>
              <w:t>6. Broad and Harrison</w:t>
            </w:r>
          </w:p>
        </w:tc>
        <w:tc>
          <w:tcPr>
            <w:tcW w:w="4675" w:type="dxa"/>
          </w:tcPr>
          <w:p w:rsidR="00150DBA" w:rsidRDefault="00150DBA" w:rsidP="007B5BD2">
            <w:pPr>
              <w:jc w:val="center"/>
            </w:pPr>
            <w:r>
              <w:t>13</w:t>
            </w:r>
          </w:p>
        </w:tc>
      </w:tr>
      <w:tr w:rsidR="00150DBA" w:rsidTr="007B5BD2">
        <w:tc>
          <w:tcPr>
            <w:tcW w:w="4675" w:type="dxa"/>
          </w:tcPr>
          <w:p w:rsidR="00150DBA" w:rsidRDefault="00150DBA" w:rsidP="007B5BD2">
            <w:r>
              <w:t>7. Jefferson Davis and Maury</w:t>
            </w:r>
          </w:p>
        </w:tc>
        <w:tc>
          <w:tcPr>
            <w:tcW w:w="4675" w:type="dxa"/>
          </w:tcPr>
          <w:p w:rsidR="00150DBA" w:rsidRDefault="00150DBA" w:rsidP="007B5BD2">
            <w:pPr>
              <w:jc w:val="center"/>
            </w:pPr>
            <w:r>
              <w:t>13</w:t>
            </w:r>
          </w:p>
        </w:tc>
      </w:tr>
      <w:tr w:rsidR="00150DBA" w:rsidTr="007B5BD2">
        <w:tc>
          <w:tcPr>
            <w:tcW w:w="4675" w:type="dxa"/>
          </w:tcPr>
          <w:p w:rsidR="00150DBA" w:rsidRDefault="00150DBA" w:rsidP="007B5BD2">
            <w:r>
              <w:t>8. Hermitage and Laburnum</w:t>
            </w:r>
          </w:p>
        </w:tc>
        <w:tc>
          <w:tcPr>
            <w:tcW w:w="4675" w:type="dxa"/>
          </w:tcPr>
          <w:p w:rsidR="00150DBA" w:rsidRDefault="00150DBA" w:rsidP="007B5BD2">
            <w:pPr>
              <w:jc w:val="center"/>
            </w:pPr>
            <w:r>
              <w:t>12</w:t>
            </w:r>
          </w:p>
        </w:tc>
      </w:tr>
      <w:tr w:rsidR="00150DBA" w:rsidTr="007B5BD2">
        <w:tc>
          <w:tcPr>
            <w:tcW w:w="4675" w:type="dxa"/>
          </w:tcPr>
          <w:p w:rsidR="00150DBA" w:rsidRDefault="00150DBA" w:rsidP="007B5BD2">
            <w:r>
              <w:t>9. Warwick and Broad Rock</w:t>
            </w:r>
          </w:p>
        </w:tc>
        <w:tc>
          <w:tcPr>
            <w:tcW w:w="4675" w:type="dxa"/>
          </w:tcPr>
          <w:p w:rsidR="00150DBA" w:rsidRDefault="00150DBA" w:rsidP="007B5BD2">
            <w:pPr>
              <w:jc w:val="center"/>
            </w:pPr>
            <w:r>
              <w:t>12</w:t>
            </w:r>
          </w:p>
        </w:tc>
      </w:tr>
      <w:tr w:rsidR="00150DBA" w:rsidTr="007B5BD2">
        <w:tc>
          <w:tcPr>
            <w:tcW w:w="4675" w:type="dxa"/>
          </w:tcPr>
          <w:p w:rsidR="00150DBA" w:rsidRDefault="00150DBA" w:rsidP="007B5BD2">
            <w:r>
              <w:t>10. 2nd and Franklin</w:t>
            </w:r>
          </w:p>
        </w:tc>
        <w:tc>
          <w:tcPr>
            <w:tcW w:w="4675" w:type="dxa"/>
          </w:tcPr>
          <w:p w:rsidR="00150DBA" w:rsidRDefault="00150DBA" w:rsidP="007B5BD2">
            <w:pPr>
              <w:jc w:val="center"/>
            </w:pPr>
            <w:r>
              <w:t>12</w:t>
            </w:r>
          </w:p>
        </w:tc>
      </w:tr>
    </w:tbl>
    <w:p w:rsidR="00150DBA" w:rsidRDefault="00150DBA" w:rsidP="00150DBA"/>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BA" w:rsidRDefault="00150DBA">
      <w:r>
        <w:separator/>
      </w:r>
    </w:p>
  </w:endnote>
  <w:endnote w:type="continuationSeparator" w:id="0">
    <w:p w:rsidR="00150DBA" w:rsidRDefault="0015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BA" w:rsidRDefault="00150DBA">
      <w:r>
        <w:separator/>
      </w:r>
    </w:p>
  </w:footnote>
  <w:footnote w:type="continuationSeparator" w:id="0">
    <w:p w:rsidR="00150DBA" w:rsidRDefault="0015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BA" w:rsidRDefault="00150DBA" w:rsidP="00150DBA">
    <w:pPr>
      <w:pStyle w:val="NormalWeb"/>
      <w:shd w:val="clear" w:color="auto" w:fill="FFFFFF"/>
      <w:spacing w:before="150" w:beforeAutospacing="0" w:after="0" w:afterAutospacing="0"/>
      <w:jc w:val="right"/>
      <w:rPr>
        <w:rFonts w:asciiTheme="minorHAnsi" w:hAnsiTheme="minorHAnsi" w:cstheme="minorHAnsi"/>
      </w:rPr>
    </w:pPr>
    <w:r w:rsidRPr="00D86888">
      <w:rPr>
        <w:rFonts w:asciiTheme="minorHAnsi" w:hAnsiTheme="minorHAnsi" w:cstheme="minorHAnsi"/>
      </w:rPr>
      <w:t xml:space="preserve">Wenger, </w:t>
    </w:r>
    <w:r w:rsidRPr="00D86888">
      <w:rPr>
        <w:rFonts w:asciiTheme="minorHAnsi" w:hAnsiTheme="minorHAnsi" w:cstheme="minorHAnsi"/>
        <w:i/>
      </w:rPr>
      <w:t>Advancing the Story</w:t>
    </w:r>
    <w:r w:rsidRPr="00D86888">
      <w:rPr>
        <w:rFonts w:asciiTheme="minorHAnsi" w:hAnsiTheme="minorHAnsi" w:cstheme="minorHAnsi"/>
      </w:rPr>
      <w:t>, 4e</w:t>
    </w:r>
  </w:p>
  <w:p w:rsidR="00150DBA" w:rsidRDefault="00150DBA" w:rsidP="00150DBA">
    <w:pPr>
      <w:pStyle w:val="NormalWeb"/>
      <w:shd w:val="clear" w:color="auto" w:fill="FFFFFF"/>
      <w:spacing w:before="150" w:beforeAutospacing="0" w:after="0" w:afterAutospacing="0"/>
      <w:jc w:val="right"/>
    </w:pPr>
    <w:r w:rsidRPr="00D86888">
      <w:rPr>
        <w:rFonts w:asciiTheme="minorHAnsi" w:hAnsiTheme="minorHAnsi" w:cstheme="minorHAnsi"/>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BA"/>
    <w:rsid w:val="00024CB8"/>
    <w:rsid w:val="00033437"/>
    <w:rsid w:val="000F388C"/>
    <w:rsid w:val="00150DBA"/>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4F3EBB"/>
    <w:rsid w:val="00500B36"/>
    <w:rsid w:val="0053536D"/>
    <w:rsid w:val="00542CC3"/>
    <w:rsid w:val="005646CF"/>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14E06"/>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69E90DA-519E-4989-BD22-E5E706AC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B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cs="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after="120" w:line="240" w:lineRule="auto"/>
    </w:pPr>
    <w:rPr>
      <w:rFonts w:ascii="Times New Roman" w:eastAsia="Calibri" w:hAnsi="Times New Roman" w:cs="Times New Roman"/>
      <w:sz w:val="24"/>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hAnsi="Times New Roman"/>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spacing w:after="12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50D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50DBA"/>
    <w:rPr>
      <w:sz w:val="24"/>
      <w:szCs w:val="24"/>
    </w:rPr>
  </w:style>
  <w:style w:type="character" w:styleId="Strong">
    <w:name w:val="Strong"/>
    <w:basedOn w:val="DefaultParagraphFont"/>
    <w:uiPriority w:val="22"/>
    <w:qFormat/>
    <w:rsid w:val="00150DBA"/>
    <w:rPr>
      <w:b/>
      <w:bCs/>
    </w:rPr>
  </w:style>
  <w:style w:type="paragraph" w:styleId="NormalWeb">
    <w:name w:val="Normal (Web)"/>
    <w:basedOn w:val="Normal"/>
    <w:uiPriority w:val="99"/>
    <w:unhideWhenUsed/>
    <w:rsid w:val="00150D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2981-C5A0-47EE-9DF1-477961B7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1597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Prakash Balasubramanian</cp:lastModifiedBy>
  <cp:revision>3</cp:revision>
  <dcterms:created xsi:type="dcterms:W3CDTF">2018-07-20T11:35:00Z</dcterms:created>
  <dcterms:modified xsi:type="dcterms:W3CDTF">2018-07-20T13:05:00Z</dcterms:modified>
</cp:coreProperties>
</file>