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4B7C" w:rsidRPr="00920732" w:rsidRDefault="006A4B7C">
      <w:pPr>
        <w:rPr>
          <w:b/>
          <w:color w:val="auto"/>
        </w:rPr>
      </w:pPr>
      <w:r w:rsidRPr="00920732">
        <w:rPr>
          <w:b/>
          <w:color w:val="auto"/>
        </w:rPr>
        <w:t>Chapter 6 Exercises</w:t>
      </w:r>
    </w:p>
    <w:p w:rsidR="006A4B7C" w:rsidRPr="00920732" w:rsidRDefault="006A4B7C">
      <w:pPr>
        <w:rPr>
          <w:b/>
          <w:color w:val="auto"/>
        </w:rPr>
      </w:pPr>
    </w:p>
    <w:p w:rsidR="007720BA" w:rsidRPr="00920732" w:rsidRDefault="00450930">
      <w:pPr>
        <w:rPr>
          <w:color w:val="auto"/>
        </w:rPr>
      </w:pPr>
      <w:r w:rsidRPr="00920732">
        <w:rPr>
          <w:b/>
          <w:color w:val="auto"/>
        </w:rPr>
        <w:t>Concepts</w:t>
      </w:r>
    </w:p>
    <w:p w:rsidR="007720BA" w:rsidRPr="00920732" w:rsidRDefault="007720BA">
      <w:pPr>
        <w:rPr>
          <w:color w:val="auto"/>
        </w:rPr>
      </w:pPr>
    </w:p>
    <w:p w:rsidR="007720BA" w:rsidRPr="00920732" w:rsidRDefault="00450930">
      <w:pPr>
        <w:numPr>
          <w:ilvl w:val="0"/>
          <w:numId w:val="4"/>
        </w:numPr>
        <w:ind w:left="360" w:hanging="359"/>
        <w:contextualSpacing/>
        <w:rPr>
          <w:color w:val="auto"/>
        </w:rPr>
      </w:pPr>
      <w:r w:rsidRPr="00920732">
        <w:rPr>
          <w:color w:val="auto"/>
        </w:rPr>
        <w:t>List the assumptions of the analysis of variance and the impact on the decision-making process when the assumptions are not met. When we say that ANOVA is relative robust with respect to deviations from the assumptions, what do we mean?</w:t>
      </w:r>
    </w:p>
    <w:p w:rsidR="00227DF2" w:rsidRPr="00920732" w:rsidRDefault="00227DF2" w:rsidP="00227DF2">
      <w:pPr>
        <w:ind w:left="360"/>
        <w:contextualSpacing/>
        <w:rPr>
          <w:color w:val="auto"/>
        </w:rPr>
      </w:pPr>
    </w:p>
    <w:p w:rsidR="007720BA" w:rsidRPr="00920732" w:rsidRDefault="00450930">
      <w:pPr>
        <w:numPr>
          <w:ilvl w:val="0"/>
          <w:numId w:val="4"/>
        </w:numPr>
        <w:ind w:left="360" w:hanging="359"/>
        <w:contextualSpacing/>
        <w:rPr>
          <w:color w:val="auto"/>
        </w:rPr>
      </w:pPr>
      <w:r w:rsidRPr="00920732">
        <w:rPr>
          <w:color w:val="auto"/>
        </w:rPr>
        <w:t>What is a nonparametric test? Why might a nonparametric test not be as powerful as a test like the analysis of variance? When might a nonparametric test be more useful than a test like ANOVA?</w:t>
      </w:r>
    </w:p>
    <w:p w:rsidR="00227DF2" w:rsidRPr="00920732" w:rsidRDefault="00227DF2" w:rsidP="00227DF2">
      <w:pPr>
        <w:contextualSpacing/>
        <w:rPr>
          <w:color w:val="auto"/>
        </w:rPr>
      </w:pPr>
    </w:p>
    <w:p w:rsidR="007720BA" w:rsidRPr="00920732" w:rsidRDefault="00450930">
      <w:pPr>
        <w:numPr>
          <w:ilvl w:val="0"/>
          <w:numId w:val="4"/>
        </w:numPr>
        <w:ind w:left="360" w:hanging="359"/>
        <w:contextualSpacing/>
        <w:rPr>
          <w:color w:val="auto"/>
        </w:rPr>
      </w:pPr>
      <w:r w:rsidRPr="00920732">
        <w:rPr>
          <w:color w:val="auto"/>
        </w:rPr>
        <w:t>Conceptually, what is the difference between a priori vs a posteriori contrasts? Which are more powerful in rejecting the null hypothesis that a contrast is equal to zero?</w:t>
      </w:r>
    </w:p>
    <w:p w:rsidR="007720BA" w:rsidRPr="00920732" w:rsidRDefault="007720BA">
      <w:pPr>
        <w:rPr>
          <w:color w:val="auto"/>
        </w:rPr>
      </w:pPr>
    </w:p>
    <w:p w:rsidR="007720BA" w:rsidRPr="00920732" w:rsidRDefault="00450930">
      <w:pPr>
        <w:rPr>
          <w:color w:val="auto"/>
        </w:rPr>
      </w:pPr>
      <w:r w:rsidRPr="00920732">
        <w:rPr>
          <w:b/>
          <w:color w:val="auto"/>
        </w:rPr>
        <w:t>Exercises</w:t>
      </w:r>
    </w:p>
    <w:p w:rsidR="007720BA" w:rsidRPr="00920732" w:rsidRDefault="007720BA">
      <w:pPr>
        <w:rPr>
          <w:color w:val="auto"/>
        </w:rPr>
      </w:pPr>
    </w:p>
    <w:p w:rsidR="007720BA" w:rsidRPr="00920732" w:rsidRDefault="00450930">
      <w:pPr>
        <w:numPr>
          <w:ilvl w:val="0"/>
          <w:numId w:val="2"/>
        </w:numPr>
        <w:ind w:left="360" w:hanging="359"/>
        <w:contextualSpacing/>
        <w:rPr>
          <w:color w:val="auto"/>
        </w:rPr>
      </w:pPr>
      <w:r w:rsidRPr="00920732">
        <w:rPr>
          <w:color w:val="auto"/>
        </w:rPr>
        <w:t>Use the following data to answer the questions below.</w:t>
      </w:r>
    </w:p>
    <w:p w:rsidR="007720BA" w:rsidRPr="00920732" w:rsidRDefault="007720BA">
      <w:pPr>
        <w:rPr>
          <w:color w:val="auto"/>
        </w:rPr>
      </w:pPr>
    </w:p>
    <w:p w:rsidR="007720BA" w:rsidRPr="00920732" w:rsidRDefault="00450930">
      <w:pPr>
        <w:jc w:val="center"/>
        <w:rPr>
          <w:color w:val="auto"/>
        </w:rPr>
      </w:pPr>
      <w:r w:rsidRPr="00920732">
        <w:rPr>
          <w:color w:val="auto"/>
        </w:rPr>
        <w:tab/>
        <w:t>University Graduation Rates by Major</w:t>
      </w:r>
    </w:p>
    <w:p w:rsidR="007720BA" w:rsidRPr="00920732" w:rsidRDefault="007720BA">
      <w:pPr>
        <w:rPr>
          <w:color w:val="auto"/>
        </w:rPr>
      </w:pPr>
    </w:p>
    <w:tbl>
      <w:tblPr>
        <w:tblStyle w:val="a"/>
        <w:tblW w:w="8505"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860"/>
        <w:gridCol w:w="1860"/>
        <w:gridCol w:w="1860"/>
        <w:gridCol w:w="1860"/>
      </w:tblGrid>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color w:val="auto"/>
              </w:rPr>
              <w:t>Year</w:t>
            </w:r>
          </w:p>
        </w:tc>
        <w:tc>
          <w:tcPr>
            <w:tcW w:w="1860" w:type="dxa"/>
            <w:tcMar>
              <w:top w:w="100" w:type="dxa"/>
              <w:left w:w="100" w:type="dxa"/>
              <w:bottom w:w="100" w:type="dxa"/>
              <w:right w:w="100" w:type="dxa"/>
            </w:tcMar>
          </w:tcPr>
          <w:p w:rsidR="007720BA" w:rsidRPr="00920732" w:rsidRDefault="00305B51">
            <w:pPr>
              <w:widowControl w:val="0"/>
              <w:spacing w:line="240" w:lineRule="auto"/>
              <w:jc w:val="center"/>
              <w:rPr>
                <w:color w:val="auto"/>
              </w:rPr>
            </w:pPr>
            <w:r w:rsidRPr="00920732">
              <w:rPr>
                <w:color w:val="auto"/>
              </w:rPr>
              <w:t>Computer s</w:t>
            </w:r>
            <w:r w:rsidR="00450930" w:rsidRPr="00920732">
              <w:rPr>
                <w:color w:val="auto"/>
              </w:rPr>
              <w:t>cience</w:t>
            </w:r>
          </w:p>
        </w:tc>
        <w:tc>
          <w:tcPr>
            <w:tcW w:w="186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color w:val="auto"/>
              </w:rPr>
              <w:t>History</w:t>
            </w:r>
          </w:p>
        </w:tc>
        <w:tc>
          <w:tcPr>
            <w:tcW w:w="186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color w:val="auto"/>
              </w:rPr>
              <w:t>Economics</w:t>
            </w:r>
          </w:p>
        </w:tc>
        <w:tc>
          <w:tcPr>
            <w:tcW w:w="1860" w:type="dxa"/>
            <w:tcMar>
              <w:top w:w="100" w:type="dxa"/>
              <w:left w:w="100" w:type="dxa"/>
              <w:bottom w:w="100" w:type="dxa"/>
              <w:right w:w="100" w:type="dxa"/>
            </w:tcMar>
          </w:tcPr>
          <w:p w:rsidR="007720BA" w:rsidRPr="00920732" w:rsidRDefault="00450930">
            <w:pPr>
              <w:widowControl w:val="0"/>
              <w:spacing w:line="240" w:lineRule="auto"/>
              <w:jc w:val="center"/>
              <w:rPr>
                <w:color w:val="auto"/>
              </w:rPr>
            </w:pPr>
            <w:proofErr w:type="spellStart"/>
            <w:r w:rsidRPr="00920732">
              <w:rPr>
                <w:color w:val="auto"/>
              </w:rPr>
              <w:t>Theater</w:t>
            </w:r>
            <w:proofErr w:type="spellEnd"/>
          </w:p>
        </w:tc>
      </w:tr>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2008</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0.63</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0.75</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0.74</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0.47</w:t>
            </w:r>
          </w:p>
        </w:tc>
      </w:tr>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2009</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0.62</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0.54</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0.58</w:t>
            </w:r>
          </w:p>
        </w:tc>
      </w:tr>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2010</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0.65</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0.86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0.61</w:t>
            </w:r>
          </w:p>
        </w:tc>
      </w:tr>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2011</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0.63</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0.88</w:t>
            </w:r>
          </w:p>
        </w:tc>
      </w:tr>
      <w:tr w:rsidR="00920732"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2012</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0.63</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0.74</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0.62</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0.78</w:t>
            </w:r>
          </w:p>
        </w:tc>
      </w:tr>
      <w:tr w:rsidR="007720BA" w:rsidRPr="00920732">
        <w:tc>
          <w:tcPr>
            <w:tcW w:w="106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2013</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0.6</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0.59</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0.51</w:t>
            </w:r>
          </w:p>
        </w:tc>
        <w:tc>
          <w:tcPr>
            <w:tcW w:w="186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0.74</w:t>
            </w:r>
          </w:p>
        </w:tc>
      </w:tr>
    </w:tbl>
    <w:p w:rsidR="007720BA" w:rsidRPr="00920732" w:rsidRDefault="007720BA">
      <w:pPr>
        <w:rPr>
          <w:color w:val="auto"/>
        </w:rPr>
      </w:pPr>
    </w:p>
    <w:p w:rsidR="007720BA" w:rsidRPr="00920732" w:rsidRDefault="00450930">
      <w:pPr>
        <w:numPr>
          <w:ilvl w:val="1"/>
          <w:numId w:val="2"/>
        </w:numPr>
        <w:ind w:left="810" w:hanging="359"/>
        <w:contextualSpacing/>
        <w:rPr>
          <w:color w:val="auto"/>
        </w:rPr>
      </w:pPr>
      <w:r w:rsidRPr="00920732">
        <w:rPr>
          <w:color w:val="auto"/>
        </w:rPr>
        <w:t>Find the mean and standard deviation for each major.</w:t>
      </w:r>
    </w:p>
    <w:p w:rsidR="007720BA" w:rsidRPr="00920732" w:rsidRDefault="00450930">
      <w:pPr>
        <w:numPr>
          <w:ilvl w:val="1"/>
          <w:numId w:val="2"/>
        </w:numPr>
        <w:ind w:left="810" w:hanging="359"/>
        <w:contextualSpacing/>
        <w:rPr>
          <w:color w:val="auto"/>
        </w:rPr>
      </w:pPr>
      <w:r w:rsidRPr="00920732">
        <w:rPr>
          <w:color w:val="auto"/>
        </w:rPr>
        <w:t xml:space="preserve">Use the </w:t>
      </w:r>
      <w:proofErr w:type="spellStart"/>
      <w:r w:rsidRPr="00920732">
        <w:rPr>
          <w:color w:val="auto"/>
        </w:rPr>
        <w:t>Levene’s</w:t>
      </w:r>
      <w:proofErr w:type="spellEnd"/>
      <w:r w:rsidRPr="00920732">
        <w:rPr>
          <w:color w:val="auto"/>
        </w:rPr>
        <w:t xml:space="preserve"> test in SPSS to determine whether the assumption of homoscedasticity is justified.</w:t>
      </w:r>
    </w:p>
    <w:p w:rsidR="007720BA" w:rsidRPr="00920732" w:rsidRDefault="00450930">
      <w:pPr>
        <w:numPr>
          <w:ilvl w:val="1"/>
          <w:numId w:val="2"/>
        </w:numPr>
        <w:ind w:left="810" w:hanging="359"/>
        <w:contextualSpacing/>
        <w:rPr>
          <w:color w:val="auto"/>
        </w:rPr>
      </w:pPr>
      <w:r w:rsidRPr="00920732">
        <w:rPr>
          <w:color w:val="auto"/>
        </w:rPr>
        <w:t xml:space="preserve">Carry out an analysis of variance to test the null hypothesis that graduation rate does not vary by major. Give the observed </w:t>
      </w:r>
      <w:r w:rsidRPr="00920732">
        <w:rPr>
          <w:i/>
          <w:color w:val="auto"/>
        </w:rPr>
        <w:t>F</w:t>
      </w:r>
      <w:r w:rsidRPr="00920732">
        <w:rPr>
          <w:color w:val="auto"/>
        </w:rPr>
        <w:t xml:space="preserve">-statistic and the critical </w:t>
      </w:r>
      <w:r w:rsidRPr="00920732">
        <w:rPr>
          <w:i/>
          <w:color w:val="auto"/>
        </w:rPr>
        <w:t>F</w:t>
      </w:r>
      <w:r w:rsidRPr="00920732">
        <w:rPr>
          <w:color w:val="auto"/>
        </w:rPr>
        <w:t>-value associated with 𝛂 = .05, and compare the two.</w:t>
      </w:r>
    </w:p>
    <w:p w:rsidR="007720BA" w:rsidRPr="00920732" w:rsidRDefault="007720BA">
      <w:pPr>
        <w:ind w:left="720"/>
        <w:rPr>
          <w:color w:val="auto"/>
        </w:rPr>
      </w:pPr>
    </w:p>
    <w:p w:rsidR="00474B50" w:rsidRPr="00920732" w:rsidRDefault="00474B50">
      <w:pPr>
        <w:numPr>
          <w:ilvl w:val="0"/>
          <w:numId w:val="2"/>
        </w:numPr>
        <w:ind w:left="360" w:hanging="359"/>
        <w:contextualSpacing/>
        <w:rPr>
          <w:color w:val="auto"/>
        </w:rPr>
      </w:pPr>
      <w:r w:rsidRPr="00920732">
        <w:rPr>
          <w:color w:val="auto"/>
        </w:rPr>
        <w:t>Use the following data to answer the questions below</w:t>
      </w:r>
    </w:p>
    <w:p w:rsidR="00474B50" w:rsidRPr="00920732" w:rsidRDefault="00474B50" w:rsidP="00474B50">
      <w:pPr>
        <w:contextualSpacing/>
        <w:rPr>
          <w:color w:val="auto"/>
        </w:rPr>
      </w:pPr>
    </w:p>
    <w:p w:rsidR="00305B51" w:rsidRPr="00920732" w:rsidRDefault="00305B51" w:rsidP="00474B50">
      <w:pPr>
        <w:contextualSpacing/>
        <w:jc w:val="center"/>
        <w:rPr>
          <w:color w:val="auto"/>
        </w:rPr>
      </w:pPr>
    </w:p>
    <w:p w:rsidR="00474B50" w:rsidRPr="00920732" w:rsidRDefault="00474B50" w:rsidP="00474B50">
      <w:pPr>
        <w:contextualSpacing/>
        <w:jc w:val="center"/>
        <w:rPr>
          <w:color w:val="auto"/>
        </w:rPr>
      </w:pPr>
      <w:r w:rsidRPr="00920732">
        <w:rPr>
          <w:color w:val="auto"/>
        </w:rPr>
        <w:lastRenderedPageBreak/>
        <w:t>Absences from Work by Division of a Company</w:t>
      </w:r>
    </w:p>
    <w:tbl>
      <w:tblPr>
        <w:tblStyle w:val="ac"/>
        <w:tblW w:w="8835"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340"/>
        <w:gridCol w:w="2340"/>
        <w:gridCol w:w="2340"/>
      </w:tblGrid>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b/>
                <w:color w:val="auto"/>
              </w:rPr>
            </w:pPr>
            <w:r w:rsidRPr="00920732">
              <w:rPr>
                <w:b/>
                <w:color w:val="auto"/>
              </w:rPr>
              <w:t>Employee</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b/>
                <w:color w:val="auto"/>
              </w:rPr>
            </w:pPr>
            <w:r w:rsidRPr="00920732">
              <w:rPr>
                <w:b/>
                <w:color w:val="auto"/>
              </w:rPr>
              <w:t>Division I</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b/>
                <w:color w:val="auto"/>
              </w:rPr>
            </w:pPr>
            <w:r w:rsidRPr="00920732">
              <w:rPr>
                <w:b/>
                <w:color w:val="auto"/>
              </w:rPr>
              <w:t>Division II</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b/>
                <w:color w:val="auto"/>
              </w:rPr>
            </w:pPr>
            <w:r w:rsidRPr="00920732">
              <w:rPr>
                <w:b/>
                <w:color w:val="auto"/>
              </w:rPr>
              <w:t>Division III</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1</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10</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2</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8</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4</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3</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7</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3</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5</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4</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5</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7</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5</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4</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6</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6</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5</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8</w:t>
            </w:r>
          </w:p>
        </w:tc>
      </w:tr>
      <w:tr w:rsidR="00920732"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7</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7</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w:t>
            </w:r>
          </w:p>
        </w:tc>
      </w:tr>
      <w:tr w:rsidR="00474B50" w:rsidRPr="00920732" w:rsidTr="002612B0">
        <w:tc>
          <w:tcPr>
            <w:tcW w:w="1815"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b/>
                <w:i/>
                <w:color w:val="auto"/>
              </w:rPr>
              <w:t>8</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3</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w:t>
            </w:r>
          </w:p>
        </w:tc>
        <w:tc>
          <w:tcPr>
            <w:tcW w:w="2340" w:type="dxa"/>
            <w:tcMar>
              <w:top w:w="100" w:type="dxa"/>
              <w:left w:w="100" w:type="dxa"/>
              <w:bottom w:w="100" w:type="dxa"/>
              <w:right w:w="100" w:type="dxa"/>
            </w:tcMar>
          </w:tcPr>
          <w:p w:rsidR="00474B50" w:rsidRPr="00920732" w:rsidRDefault="00474B50" w:rsidP="002612B0">
            <w:pPr>
              <w:widowControl w:val="0"/>
              <w:spacing w:line="240" w:lineRule="auto"/>
              <w:rPr>
                <w:color w:val="auto"/>
              </w:rPr>
            </w:pPr>
            <w:r w:rsidRPr="00920732">
              <w:rPr>
                <w:color w:val="auto"/>
              </w:rPr>
              <w:t>---</w:t>
            </w:r>
          </w:p>
        </w:tc>
      </w:tr>
    </w:tbl>
    <w:p w:rsidR="00474B50" w:rsidRPr="00920732" w:rsidRDefault="00474B50" w:rsidP="00474B50">
      <w:pPr>
        <w:contextualSpacing/>
        <w:rPr>
          <w:color w:val="auto"/>
        </w:rPr>
      </w:pPr>
    </w:p>
    <w:p w:rsidR="003851EF" w:rsidRPr="00920732" w:rsidRDefault="003851EF" w:rsidP="003851EF">
      <w:pPr>
        <w:pStyle w:val="ListParagraph"/>
        <w:numPr>
          <w:ilvl w:val="0"/>
          <w:numId w:val="5"/>
        </w:numPr>
        <w:rPr>
          <w:color w:val="auto"/>
        </w:rPr>
      </w:pPr>
      <w:r w:rsidRPr="00920732">
        <w:rPr>
          <w:color w:val="auto"/>
        </w:rPr>
        <w:t>Carry out an analysis of variance to test the null hypothesis that the absentee rate does not vary by division.  Give the observed</w:t>
      </w:r>
      <w:r w:rsidRPr="00920732">
        <w:rPr>
          <w:i/>
          <w:color w:val="auto"/>
        </w:rPr>
        <w:t xml:space="preserve"> F</w:t>
      </w:r>
      <w:r w:rsidRPr="00920732">
        <w:rPr>
          <w:color w:val="auto"/>
        </w:rPr>
        <w:t xml:space="preserve">-statistic and the critical </w:t>
      </w:r>
      <w:r w:rsidRPr="00920732">
        <w:rPr>
          <w:i/>
          <w:color w:val="auto"/>
        </w:rPr>
        <w:t>F</w:t>
      </w:r>
      <w:r w:rsidRPr="00920732">
        <w:rPr>
          <w:color w:val="auto"/>
        </w:rPr>
        <w:t xml:space="preserve">-value associated with α = .05. </w:t>
      </w:r>
    </w:p>
    <w:p w:rsidR="00227DF2" w:rsidRPr="00920732" w:rsidRDefault="00227DF2" w:rsidP="00227DF2">
      <w:pPr>
        <w:pStyle w:val="ListParagraph"/>
        <w:rPr>
          <w:color w:val="auto"/>
        </w:rPr>
      </w:pPr>
    </w:p>
    <w:p w:rsidR="003851EF" w:rsidRPr="00920732" w:rsidRDefault="003851EF" w:rsidP="003851EF">
      <w:pPr>
        <w:pStyle w:val="ListParagraph"/>
        <w:numPr>
          <w:ilvl w:val="0"/>
          <w:numId w:val="5"/>
        </w:numPr>
        <w:rPr>
          <w:color w:val="auto"/>
        </w:rPr>
      </w:pPr>
      <w:r w:rsidRPr="00920732">
        <w:rPr>
          <w:color w:val="auto"/>
        </w:rPr>
        <w:t xml:space="preserve">Calculate the </w:t>
      </w:r>
      <w:proofErr w:type="spellStart"/>
      <w:r w:rsidRPr="00920732">
        <w:rPr>
          <w:color w:val="auto"/>
        </w:rPr>
        <w:t>Kruskal</w:t>
      </w:r>
      <w:proofErr w:type="spellEnd"/>
      <w:r w:rsidRPr="00920732">
        <w:rPr>
          <w:color w:val="auto"/>
        </w:rPr>
        <w:t>-Wallis statistics and compare the results to those from (a).</w:t>
      </w:r>
    </w:p>
    <w:p w:rsidR="003851EF" w:rsidRPr="00920732" w:rsidRDefault="003851EF" w:rsidP="00474B50">
      <w:pPr>
        <w:contextualSpacing/>
        <w:rPr>
          <w:color w:val="auto"/>
        </w:rPr>
      </w:pPr>
    </w:p>
    <w:p w:rsidR="007720BA" w:rsidRPr="00920732" w:rsidRDefault="00450930">
      <w:pPr>
        <w:numPr>
          <w:ilvl w:val="0"/>
          <w:numId w:val="2"/>
        </w:numPr>
        <w:ind w:left="360" w:hanging="359"/>
        <w:contextualSpacing/>
        <w:rPr>
          <w:color w:val="auto"/>
        </w:rPr>
      </w:pPr>
      <w:r w:rsidRPr="00920732">
        <w:rPr>
          <w:color w:val="auto"/>
        </w:rPr>
        <w:t xml:space="preserve">Assume that an analysis of variance is conducted for a study of N = 64 observations and </w:t>
      </w:r>
      <w:r w:rsidR="00305B51" w:rsidRPr="00920732">
        <w:rPr>
          <w:color w:val="auto"/>
        </w:rPr>
        <w:br/>
      </w:r>
      <w:r w:rsidRPr="00920732">
        <w:rPr>
          <w:color w:val="auto"/>
        </w:rPr>
        <w:t>k = 4 categories. Fill in the blanks in the following ANOVA table:</w:t>
      </w:r>
    </w:p>
    <w:p w:rsidR="007720BA" w:rsidRPr="00920732" w:rsidRDefault="007720BA">
      <w:pPr>
        <w:rPr>
          <w:color w:val="auto"/>
        </w:rPr>
      </w:pPr>
    </w:p>
    <w:tbl>
      <w:tblPr>
        <w:tblStyle w:val="a0"/>
        <w:tblW w:w="87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800"/>
        <w:gridCol w:w="1800"/>
        <w:gridCol w:w="1800"/>
      </w:tblGrid>
      <w:tr w:rsidR="00920732" w:rsidRPr="00920732">
        <w:tc>
          <w:tcPr>
            <w:tcW w:w="1545" w:type="dxa"/>
            <w:tcMar>
              <w:top w:w="100" w:type="dxa"/>
              <w:left w:w="100" w:type="dxa"/>
              <w:bottom w:w="100" w:type="dxa"/>
              <w:right w:w="100" w:type="dxa"/>
            </w:tcMar>
          </w:tcPr>
          <w:p w:rsidR="007720BA" w:rsidRPr="00920732" w:rsidRDefault="007720BA">
            <w:pPr>
              <w:spacing w:line="240" w:lineRule="auto"/>
              <w:rPr>
                <w:color w:val="auto"/>
              </w:rPr>
            </w:pPr>
          </w:p>
        </w:tc>
        <w:tc>
          <w:tcPr>
            <w:tcW w:w="1800" w:type="dxa"/>
            <w:tcMar>
              <w:top w:w="100" w:type="dxa"/>
              <w:left w:w="100" w:type="dxa"/>
              <w:bottom w:w="100" w:type="dxa"/>
              <w:right w:w="100" w:type="dxa"/>
            </w:tcMar>
          </w:tcPr>
          <w:p w:rsidR="007720BA" w:rsidRPr="00920732" w:rsidRDefault="00305B51">
            <w:pPr>
              <w:spacing w:line="240" w:lineRule="auto"/>
              <w:jc w:val="center"/>
              <w:rPr>
                <w:color w:val="auto"/>
              </w:rPr>
            </w:pPr>
            <w:r w:rsidRPr="00920732">
              <w:rPr>
                <w:color w:val="auto"/>
              </w:rPr>
              <w:t>Sums of s</w:t>
            </w:r>
            <w:r w:rsidR="00450930" w:rsidRPr="00920732">
              <w:rPr>
                <w:color w:val="auto"/>
              </w:rPr>
              <w:t>quares</w:t>
            </w:r>
          </w:p>
        </w:tc>
        <w:tc>
          <w:tcPr>
            <w:tcW w:w="1800" w:type="dxa"/>
            <w:tcMar>
              <w:top w:w="100" w:type="dxa"/>
              <w:left w:w="100" w:type="dxa"/>
              <w:bottom w:w="100" w:type="dxa"/>
              <w:right w:w="100" w:type="dxa"/>
            </w:tcMar>
          </w:tcPr>
          <w:p w:rsidR="007720BA" w:rsidRPr="00920732" w:rsidRDefault="00305B51">
            <w:pPr>
              <w:spacing w:line="240" w:lineRule="auto"/>
              <w:jc w:val="center"/>
              <w:rPr>
                <w:color w:val="auto"/>
              </w:rPr>
            </w:pPr>
            <w:r w:rsidRPr="00920732">
              <w:rPr>
                <w:color w:val="auto"/>
              </w:rPr>
              <w:t>Degrees of f</w:t>
            </w:r>
            <w:r w:rsidR="00450930" w:rsidRPr="00920732">
              <w:rPr>
                <w:color w:val="auto"/>
              </w:rPr>
              <w:t>reedom</w:t>
            </w:r>
          </w:p>
        </w:tc>
        <w:tc>
          <w:tcPr>
            <w:tcW w:w="1800" w:type="dxa"/>
            <w:tcMar>
              <w:top w:w="100" w:type="dxa"/>
              <w:left w:w="100" w:type="dxa"/>
              <w:bottom w:w="100" w:type="dxa"/>
              <w:right w:w="100" w:type="dxa"/>
            </w:tcMar>
          </w:tcPr>
          <w:p w:rsidR="007720BA" w:rsidRPr="00920732" w:rsidRDefault="00305B51">
            <w:pPr>
              <w:spacing w:line="240" w:lineRule="auto"/>
              <w:jc w:val="center"/>
              <w:rPr>
                <w:color w:val="auto"/>
              </w:rPr>
            </w:pPr>
            <w:r w:rsidRPr="00920732">
              <w:rPr>
                <w:color w:val="auto"/>
              </w:rPr>
              <w:t>Mean s</w:t>
            </w:r>
            <w:r w:rsidR="00450930" w:rsidRPr="00920732">
              <w:rPr>
                <w:color w:val="auto"/>
              </w:rPr>
              <w:t>quare</w:t>
            </w:r>
          </w:p>
        </w:tc>
        <w:tc>
          <w:tcPr>
            <w:tcW w:w="1800" w:type="dxa"/>
            <w:tcMar>
              <w:top w:w="100" w:type="dxa"/>
              <w:left w:w="100" w:type="dxa"/>
              <w:bottom w:w="100" w:type="dxa"/>
              <w:right w:w="100" w:type="dxa"/>
            </w:tcMar>
          </w:tcPr>
          <w:p w:rsidR="007720BA" w:rsidRPr="00920732" w:rsidRDefault="00450930">
            <w:pPr>
              <w:spacing w:line="240" w:lineRule="auto"/>
              <w:jc w:val="center"/>
              <w:rPr>
                <w:i/>
                <w:color w:val="auto"/>
              </w:rPr>
            </w:pPr>
            <w:r w:rsidRPr="00920732">
              <w:rPr>
                <w:i/>
                <w:color w:val="auto"/>
              </w:rPr>
              <w:t>F</w:t>
            </w:r>
          </w:p>
        </w:tc>
      </w:tr>
      <w:tr w:rsidR="00920732" w:rsidRPr="00920732">
        <w:tc>
          <w:tcPr>
            <w:tcW w:w="1545"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Between</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356.675</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r>
      <w:tr w:rsidR="00920732" w:rsidRPr="00920732">
        <w:tc>
          <w:tcPr>
            <w:tcW w:w="1545"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Within</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703.655</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7720BA">
            <w:pPr>
              <w:spacing w:line="240" w:lineRule="auto"/>
              <w:rPr>
                <w:color w:val="auto"/>
              </w:rPr>
            </w:pPr>
          </w:p>
        </w:tc>
      </w:tr>
      <w:tr w:rsidR="007720BA" w:rsidRPr="00920732">
        <w:tc>
          <w:tcPr>
            <w:tcW w:w="1545"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Total</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7720BA">
            <w:pPr>
              <w:spacing w:line="240" w:lineRule="auto"/>
              <w:rPr>
                <w:color w:val="auto"/>
              </w:rPr>
            </w:pPr>
          </w:p>
        </w:tc>
        <w:tc>
          <w:tcPr>
            <w:tcW w:w="1800" w:type="dxa"/>
            <w:tcMar>
              <w:top w:w="100" w:type="dxa"/>
              <w:left w:w="100" w:type="dxa"/>
              <w:bottom w:w="100" w:type="dxa"/>
              <w:right w:w="100" w:type="dxa"/>
            </w:tcMar>
          </w:tcPr>
          <w:p w:rsidR="007720BA" w:rsidRPr="00920732" w:rsidRDefault="007720BA">
            <w:pPr>
              <w:spacing w:line="240" w:lineRule="auto"/>
              <w:rPr>
                <w:color w:val="auto"/>
              </w:rPr>
            </w:pPr>
          </w:p>
        </w:tc>
      </w:tr>
    </w:tbl>
    <w:p w:rsidR="007720BA" w:rsidRPr="00920732" w:rsidRDefault="007720BA">
      <w:pPr>
        <w:rPr>
          <w:color w:val="auto"/>
        </w:rPr>
      </w:pPr>
    </w:p>
    <w:p w:rsidR="007720BA" w:rsidRPr="00920732" w:rsidRDefault="00450930">
      <w:pPr>
        <w:ind w:left="360"/>
        <w:rPr>
          <w:color w:val="auto"/>
        </w:rPr>
      </w:pPr>
      <w:r w:rsidRPr="00920732">
        <w:rPr>
          <w:color w:val="auto"/>
        </w:rPr>
        <w:t>If 𝛂 = .05, assess the null hypothesis that the means of the different categories are equal.</w:t>
      </w:r>
    </w:p>
    <w:p w:rsidR="007720BA" w:rsidRPr="00920732" w:rsidRDefault="007720BA">
      <w:pPr>
        <w:ind w:left="360"/>
        <w:rPr>
          <w:color w:val="auto"/>
        </w:rPr>
      </w:pPr>
    </w:p>
    <w:p w:rsidR="007720BA" w:rsidRPr="00920732" w:rsidRDefault="00450930">
      <w:pPr>
        <w:numPr>
          <w:ilvl w:val="0"/>
          <w:numId w:val="2"/>
        </w:numPr>
        <w:ind w:left="360" w:hanging="359"/>
        <w:contextualSpacing/>
        <w:rPr>
          <w:color w:val="auto"/>
        </w:rPr>
      </w:pPr>
      <w:r w:rsidRPr="00920732">
        <w:rPr>
          <w:color w:val="auto"/>
        </w:rPr>
        <w:t>Fill out the following analysis of variance table. Assuming that 𝛂 = .05, compare the F-value with the critical value:</w:t>
      </w:r>
    </w:p>
    <w:p w:rsidR="007720BA" w:rsidRPr="00920732" w:rsidRDefault="007720BA">
      <w:pPr>
        <w:rPr>
          <w:color w:val="auto"/>
        </w:rPr>
      </w:pPr>
    </w:p>
    <w:tbl>
      <w:tblPr>
        <w:tblStyle w:val="a1"/>
        <w:tblW w:w="87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800"/>
        <w:gridCol w:w="1800"/>
        <w:gridCol w:w="1800"/>
      </w:tblGrid>
      <w:tr w:rsidR="00920732" w:rsidRPr="00920732">
        <w:tc>
          <w:tcPr>
            <w:tcW w:w="1545" w:type="dxa"/>
            <w:tcMar>
              <w:top w:w="100" w:type="dxa"/>
              <w:left w:w="100" w:type="dxa"/>
              <w:bottom w:w="100" w:type="dxa"/>
              <w:right w:w="100" w:type="dxa"/>
            </w:tcMar>
          </w:tcPr>
          <w:p w:rsidR="007720BA" w:rsidRPr="00920732" w:rsidRDefault="007720BA">
            <w:pPr>
              <w:spacing w:line="240" w:lineRule="auto"/>
              <w:ind w:left="360"/>
              <w:rPr>
                <w:color w:val="auto"/>
              </w:rPr>
            </w:pPr>
          </w:p>
        </w:tc>
        <w:tc>
          <w:tcPr>
            <w:tcW w:w="1800" w:type="dxa"/>
            <w:tcMar>
              <w:top w:w="100" w:type="dxa"/>
              <w:left w:w="100" w:type="dxa"/>
              <w:bottom w:w="100" w:type="dxa"/>
              <w:right w:w="100" w:type="dxa"/>
            </w:tcMar>
          </w:tcPr>
          <w:p w:rsidR="00305B51" w:rsidRPr="00920732" w:rsidRDefault="00305B51">
            <w:pPr>
              <w:spacing w:line="240" w:lineRule="auto"/>
              <w:ind w:left="-104" w:hanging="14"/>
              <w:jc w:val="center"/>
              <w:rPr>
                <w:color w:val="auto"/>
              </w:rPr>
            </w:pPr>
            <w:r w:rsidRPr="00920732">
              <w:rPr>
                <w:color w:val="auto"/>
              </w:rPr>
              <w:t xml:space="preserve">Sums of </w:t>
            </w:r>
          </w:p>
          <w:p w:rsidR="007720BA" w:rsidRPr="00920732" w:rsidRDefault="00305B51">
            <w:pPr>
              <w:spacing w:line="240" w:lineRule="auto"/>
              <w:ind w:left="-104" w:hanging="14"/>
              <w:jc w:val="center"/>
              <w:rPr>
                <w:color w:val="auto"/>
              </w:rPr>
            </w:pPr>
            <w:r w:rsidRPr="00920732">
              <w:rPr>
                <w:color w:val="auto"/>
              </w:rPr>
              <w:t>s</w:t>
            </w:r>
            <w:r w:rsidR="00450930" w:rsidRPr="00920732">
              <w:rPr>
                <w:color w:val="auto"/>
              </w:rPr>
              <w:t>quares</w:t>
            </w:r>
          </w:p>
        </w:tc>
        <w:tc>
          <w:tcPr>
            <w:tcW w:w="1800" w:type="dxa"/>
            <w:tcMar>
              <w:top w:w="100" w:type="dxa"/>
              <w:left w:w="100" w:type="dxa"/>
              <w:bottom w:w="100" w:type="dxa"/>
              <w:right w:w="100" w:type="dxa"/>
            </w:tcMar>
          </w:tcPr>
          <w:p w:rsidR="007720BA" w:rsidRPr="00920732" w:rsidRDefault="00305B51">
            <w:pPr>
              <w:spacing w:line="240" w:lineRule="auto"/>
              <w:ind w:left="-104" w:hanging="14"/>
              <w:jc w:val="center"/>
              <w:rPr>
                <w:color w:val="auto"/>
              </w:rPr>
            </w:pPr>
            <w:r w:rsidRPr="00920732">
              <w:rPr>
                <w:color w:val="auto"/>
              </w:rPr>
              <w:t>Degrees of f</w:t>
            </w:r>
            <w:r w:rsidR="00450930" w:rsidRPr="00920732">
              <w:rPr>
                <w:color w:val="auto"/>
              </w:rPr>
              <w:t>reedom</w:t>
            </w:r>
          </w:p>
        </w:tc>
        <w:tc>
          <w:tcPr>
            <w:tcW w:w="1800" w:type="dxa"/>
            <w:tcMar>
              <w:top w:w="100" w:type="dxa"/>
              <w:left w:w="100" w:type="dxa"/>
              <w:bottom w:w="100" w:type="dxa"/>
              <w:right w:w="100" w:type="dxa"/>
            </w:tcMar>
          </w:tcPr>
          <w:p w:rsidR="007720BA" w:rsidRPr="00920732" w:rsidRDefault="00305B51" w:rsidP="00305B51">
            <w:pPr>
              <w:spacing w:line="240" w:lineRule="auto"/>
              <w:ind w:left="360"/>
              <w:rPr>
                <w:color w:val="auto"/>
              </w:rPr>
            </w:pPr>
            <w:r w:rsidRPr="00920732">
              <w:rPr>
                <w:color w:val="auto"/>
              </w:rPr>
              <w:t>Mean s</w:t>
            </w:r>
            <w:r w:rsidR="00450930" w:rsidRPr="00920732">
              <w:rPr>
                <w:color w:val="auto"/>
              </w:rPr>
              <w:t>quare</w:t>
            </w:r>
          </w:p>
        </w:tc>
        <w:tc>
          <w:tcPr>
            <w:tcW w:w="1800" w:type="dxa"/>
            <w:tcMar>
              <w:top w:w="100" w:type="dxa"/>
              <w:left w:w="100" w:type="dxa"/>
              <w:bottom w:w="100" w:type="dxa"/>
              <w:right w:w="100" w:type="dxa"/>
            </w:tcMar>
          </w:tcPr>
          <w:p w:rsidR="007720BA" w:rsidRPr="00920732" w:rsidRDefault="00305B51" w:rsidP="00305B51">
            <w:pPr>
              <w:spacing w:line="240" w:lineRule="auto"/>
              <w:ind w:left="360"/>
              <w:rPr>
                <w:i/>
                <w:color w:val="auto"/>
              </w:rPr>
            </w:pPr>
            <w:r w:rsidRPr="00920732">
              <w:rPr>
                <w:i/>
                <w:color w:val="auto"/>
              </w:rPr>
              <w:t xml:space="preserve">     </w:t>
            </w:r>
            <w:r w:rsidR="00450930" w:rsidRPr="00920732">
              <w:rPr>
                <w:i/>
                <w:color w:val="auto"/>
              </w:rPr>
              <w:t>F</w:t>
            </w:r>
          </w:p>
        </w:tc>
      </w:tr>
      <w:tr w:rsidR="00920732" w:rsidRPr="00920732">
        <w:tc>
          <w:tcPr>
            <w:tcW w:w="1545"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Between</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78.5</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6</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______</w:t>
            </w:r>
          </w:p>
        </w:tc>
      </w:tr>
      <w:tr w:rsidR="00920732" w:rsidRPr="00920732">
        <w:tc>
          <w:tcPr>
            <w:tcW w:w="1545"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Within</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______</w:t>
            </w:r>
          </w:p>
        </w:tc>
        <w:tc>
          <w:tcPr>
            <w:tcW w:w="1800" w:type="dxa"/>
            <w:tcMar>
              <w:top w:w="100" w:type="dxa"/>
              <w:left w:w="100" w:type="dxa"/>
              <w:bottom w:w="100" w:type="dxa"/>
              <w:right w:w="100" w:type="dxa"/>
            </w:tcMar>
          </w:tcPr>
          <w:p w:rsidR="007720BA" w:rsidRPr="00920732" w:rsidRDefault="007720BA">
            <w:pPr>
              <w:spacing w:line="240" w:lineRule="auto"/>
              <w:ind w:left="360"/>
              <w:rPr>
                <w:color w:val="auto"/>
              </w:rPr>
            </w:pPr>
          </w:p>
        </w:tc>
      </w:tr>
      <w:tr w:rsidR="007720BA" w:rsidRPr="00920732">
        <w:tc>
          <w:tcPr>
            <w:tcW w:w="1545"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Total</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246.7</w:t>
            </w:r>
          </w:p>
        </w:tc>
        <w:tc>
          <w:tcPr>
            <w:tcW w:w="1800" w:type="dxa"/>
            <w:tcMar>
              <w:top w:w="100" w:type="dxa"/>
              <w:left w:w="100" w:type="dxa"/>
              <w:bottom w:w="100" w:type="dxa"/>
              <w:right w:w="100" w:type="dxa"/>
            </w:tcMar>
          </w:tcPr>
          <w:p w:rsidR="007720BA" w:rsidRPr="00920732" w:rsidRDefault="00450930">
            <w:pPr>
              <w:spacing w:line="240" w:lineRule="auto"/>
              <w:ind w:left="360"/>
              <w:rPr>
                <w:color w:val="auto"/>
              </w:rPr>
            </w:pPr>
            <w:r w:rsidRPr="00920732">
              <w:rPr>
                <w:color w:val="auto"/>
              </w:rPr>
              <w:t>46</w:t>
            </w:r>
          </w:p>
        </w:tc>
        <w:tc>
          <w:tcPr>
            <w:tcW w:w="1800" w:type="dxa"/>
            <w:tcMar>
              <w:top w:w="100" w:type="dxa"/>
              <w:left w:w="100" w:type="dxa"/>
              <w:bottom w:w="100" w:type="dxa"/>
              <w:right w:w="100" w:type="dxa"/>
            </w:tcMar>
          </w:tcPr>
          <w:p w:rsidR="007720BA" w:rsidRPr="00920732" w:rsidRDefault="007720BA">
            <w:pPr>
              <w:spacing w:line="240" w:lineRule="auto"/>
              <w:ind w:left="360"/>
              <w:rPr>
                <w:color w:val="auto"/>
              </w:rPr>
            </w:pPr>
          </w:p>
        </w:tc>
        <w:tc>
          <w:tcPr>
            <w:tcW w:w="1800" w:type="dxa"/>
            <w:tcMar>
              <w:top w:w="100" w:type="dxa"/>
              <w:left w:w="100" w:type="dxa"/>
              <w:bottom w:w="100" w:type="dxa"/>
              <w:right w:w="100" w:type="dxa"/>
            </w:tcMar>
          </w:tcPr>
          <w:p w:rsidR="007720BA" w:rsidRPr="00920732" w:rsidRDefault="007720BA">
            <w:pPr>
              <w:spacing w:line="240" w:lineRule="auto"/>
              <w:ind w:left="360"/>
              <w:rPr>
                <w:color w:val="auto"/>
              </w:rPr>
            </w:pPr>
          </w:p>
        </w:tc>
      </w:tr>
    </w:tbl>
    <w:p w:rsidR="00474B50" w:rsidRPr="00920732" w:rsidRDefault="00474B50" w:rsidP="00474B50">
      <w:pPr>
        <w:contextualSpacing/>
        <w:rPr>
          <w:color w:val="auto"/>
        </w:rPr>
      </w:pPr>
    </w:p>
    <w:p w:rsidR="007720BA" w:rsidRPr="00920732" w:rsidRDefault="00450930">
      <w:pPr>
        <w:numPr>
          <w:ilvl w:val="0"/>
          <w:numId w:val="2"/>
        </w:numPr>
        <w:ind w:left="360" w:hanging="359"/>
        <w:contextualSpacing/>
        <w:rPr>
          <w:color w:val="auto"/>
        </w:rPr>
      </w:pPr>
      <w:r w:rsidRPr="00920732">
        <w:rPr>
          <w:color w:val="auto"/>
        </w:rPr>
        <w:t xml:space="preserve">Use the following data to answer the questions: </w:t>
      </w:r>
    </w:p>
    <w:p w:rsidR="007720BA" w:rsidRPr="00920732" w:rsidRDefault="007720BA">
      <w:pPr>
        <w:jc w:val="center"/>
        <w:rPr>
          <w:color w:val="auto"/>
        </w:rPr>
      </w:pPr>
    </w:p>
    <w:p w:rsidR="007720BA" w:rsidRPr="00920732" w:rsidRDefault="00305B51">
      <w:pPr>
        <w:jc w:val="center"/>
        <w:rPr>
          <w:color w:val="auto"/>
        </w:rPr>
      </w:pPr>
      <w:r w:rsidRPr="00920732">
        <w:rPr>
          <w:color w:val="auto"/>
        </w:rPr>
        <w:t>Sightings p</w:t>
      </w:r>
      <w:r w:rsidR="00450930" w:rsidRPr="00920732">
        <w:rPr>
          <w:color w:val="auto"/>
        </w:rPr>
        <w:t xml:space="preserve">er Year of Endangered Species </w:t>
      </w:r>
      <w:proofErr w:type="gramStart"/>
      <w:r w:rsidR="00450930" w:rsidRPr="00920732">
        <w:rPr>
          <w:color w:val="auto"/>
        </w:rPr>
        <w:t>Across</w:t>
      </w:r>
      <w:proofErr w:type="gramEnd"/>
      <w:r w:rsidR="00450930" w:rsidRPr="00920732">
        <w:rPr>
          <w:color w:val="auto"/>
        </w:rPr>
        <w:t xml:space="preserve"> Three Forests</w:t>
      </w:r>
    </w:p>
    <w:p w:rsidR="007720BA" w:rsidRPr="00920732" w:rsidRDefault="007720BA">
      <w:pPr>
        <w:jc w:val="center"/>
        <w:rPr>
          <w:color w:val="auto"/>
        </w:rPr>
      </w:pPr>
    </w:p>
    <w:tbl>
      <w:tblPr>
        <w:tblStyle w:val="a2"/>
        <w:tblW w:w="873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340"/>
        <w:gridCol w:w="2340"/>
        <w:gridCol w:w="2340"/>
      </w:tblGrid>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Observation</w:t>
            </w:r>
          </w:p>
        </w:tc>
        <w:tc>
          <w:tcPr>
            <w:tcW w:w="234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Forest A</w:t>
            </w:r>
          </w:p>
        </w:tc>
        <w:tc>
          <w:tcPr>
            <w:tcW w:w="234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Forest B</w:t>
            </w:r>
          </w:p>
        </w:tc>
        <w:tc>
          <w:tcPr>
            <w:tcW w:w="234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Forest C</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34</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23</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2</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31</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28</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27</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4</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26</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39</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34</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color w:val="auto"/>
              </w:rPr>
              <w:t>6</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32</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30</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i/>
                <w:color w:val="auto"/>
              </w:rPr>
              <w:t>Mean</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28.0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27.3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30.7</w:t>
            </w:r>
          </w:p>
        </w:tc>
      </w:tr>
      <w:tr w:rsidR="00920732"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proofErr w:type="spellStart"/>
            <w:r w:rsidRPr="00920732">
              <w:rPr>
                <w:b/>
                <w:i/>
                <w:color w:val="auto"/>
              </w:rPr>
              <w:t>Std</w:t>
            </w:r>
            <w:proofErr w:type="spellEnd"/>
            <w:r w:rsidRPr="00920732">
              <w:rPr>
                <w:b/>
                <w:i/>
                <w:color w:val="auto"/>
              </w:rPr>
              <w:t xml:space="preserve"> dev</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5.9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3.8</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5.5</w:t>
            </w:r>
          </w:p>
        </w:tc>
      </w:tr>
      <w:tr w:rsidR="007720BA" w:rsidRPr="00920732">
        <w:tc>
          <w:tcPr>
            <w:tcW w:w="171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i/>
                <w:color w:val="auto"/>
              </w:rPr>
              <w:t>Overall mean</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28.7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Overall std</w:t>
            </w:r>
            <w:r w:rsidR="00305B51" w:rsidRPr="00920732">
              <w:rPr>
                <w:b/>
                <w:i/>
                <w:color w:val="auto"/>
              </w:rPr>
              <w:t>.</w:t>
            </w:r>
            <w:r w:rsidRPr="00920732">
              <w:rPr>
                <w:b/>
                <w:i/>
                <w:color w:val="auto"/>
              </w:rPr>
              <w:t xml:space="preserve"> dev</w:t>
            </w:r>
            <w:r w:rsidR="00305B51" w:rsidRPr="00920732">
              <w:rPr>
                <w:b/>
                <w:i/>
                <w:color w:val="auto"/>
              </w:rPr>
              <w:t>.</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i/>
                <w:color w:val="auto"/>
              </w:rPr>
              <w:t>5.1</w:t>
            </w:r>
          </w:p>
        </w:tc>
      </w:tr>
    </w:tbl>
    <w:p w:rsidR="007720BA" w:rsidRPr="00920732" w:rsidRDefault="007720BA">
      <w:pPr>
        <w:rPr>
          <w:color w:val="auto"/>
        </w:rPr>
      </w:pPr>
    </w:p>
    <w:p w:rsidR="007720BA" w:rsidRPr="00920732" w:rsidRDefault="00450930">
      <w:pPr>
        <w:numPr>
          <w:ilvl w:val="1"/>
          <w:numId w:val="2"/>
        </w:numPr>
        <w:ind w:left="810" w:hanging="359"/>
        <w:contextualSpacing/>
        <w:rPr>
          <w:color w:val="auto"/>
        </w:rPr>
      </w:pPr>
      <w:r w:rsidRPr="00920732">
        <w:rPr>
          <w:color w:val="auto"/>
        </w:rPr>
        <w:t>Find the within sum of squares for the data using the following definition:</w:t>
      </w:r>
    </w:p>
    <w:p w:rsidR="007720BA" w:rsidRPr="00920732" w:rsidRDefault="00450930">
      <w:pPr>
        <w:ind w:left="720"/>
        <w:rPr>
          <w:color w:val="auto"/>
        </w:rPr>
      </w:pPr>
      <w:r w:rsidRPr="00920732">
        <w:rPr>
          <w:noProof/>
          <w:color w:val="auto"/>
        </w:rPr>
        <w:drawing>
          <wp:inline distT="114300" distB="114300" distL="114300" distR="114300">
            <wp:extent cx="3067050" cy="1219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3067050" cy="1219200"/>
                    </a:xfrm>
                    <a:prstGeom prst="rect">
                      <a:avLst/>
                    </a:prstGeom>
                    <a:ln/>
                  </pic:spPr>
                </pic:pic>
              </a:graphicData>
            </a:graphic>
          </wp:inline>
        </w:drawing>
      </w:r>
    </w:p>
    <w:p w:rsidR="00305B51" w:rsidRPr="00920732" w:rsidRDefault="00450930">
      <w:pPr>
        <w:numPr>
          <w:ilvl w:val="1"/>
          <w:numId w:val="2"/>
        </w:numPr>
        <w:ind w:left="810" w:hanging="359"/>
        <w:contextualSpacing/>
        <w:rPr>
          <w:color w:val="auto"/>
        </w:rPr>
      </w:pPr>
      <w:r w:rsidRPr="00920732">
        <w:rPr>
          <w:color w:val="auto"/>
        </w:rPr>
        <w:t xml:space="preserve">Find the value of the test statistic. Compare it with the critical value associated with </w:t>
      </w:r>
    </w:p>
    <w:p w:rsidR="007720BA" w:rsidRPr="00920732" w:rsidRDefault="00450930" w:rsidP="00305B51">
      <w:pPr>
        <w:ind w:left="810"/>
        <w:contextualSpacing/>
        <w:rPr>
          <w:color w:val="auto"/>
        </w:rPr>
      </w:pPr>
      <w:r w:rsidRPr="00920732">
        <w:rPr>
          <w:color w:val="auto"/>
        </w:rPr>
        <w:t>𝛂 = .05.</w:t>
      </w:r>
    </w:p>
    <w:p w:rsidR="007720BA" w:rsidRPr="00920732" w:rsidRDefault="00450930">
      <w:pPr>
        <w:numPr>
          <w:ilvl w:val="1"/>
          <w:numId w:val="2"/>
        </w:numPr>
        <w:ind w:left="810" w:hanging="359"/>
        <w:contextualSpacing/>
        <w:rPr>
          <w:color w:val="auto"/>
        </w:rPr>
      </w:pPr>
      <w:r w:rsidRPr="00920732">
        <w:rPr>
          <w:color w:val="auto"/>
        </w:rPr>
        <w:t xml:space="preserve">Rank the data, using 1 to indicate the lowest value and the average of the ranks for sets of tied observations. Find the </w:t>
      </w:r>
      <w:proofErr w:type="spellStart"/>
      <w:r w:rsidRPr="00920732">
        <w:rPr>
          <w:color w:val="auto"/>
        </w:rPr>
        <w:t>Kruskall</w:t>
      </w:r>
      <w:proofErr w:type="spellEnd"/>
      <w:r w:rsidRPr="00920732">
        <w:rPr>
          <w:color w:val="auto"/>
        </w:rPr>
        <w:t>-Wallis statistic as follows</w:t>
      </w:r>
      <w:r w:rsidR="00305B51" w:rsidRPr="00920732">
        <w:rPr>
          <w:color w:val="auto"/>
        </w:rPr>
        <w:t>:</w:t>
      </w:r>
      <w:r w:rsidRPr="00920732">
        <w:rPr>
          <w:color w:val="auto"/>
        </w:rPr>
        <w:t xml:space="preserve"> </w:t>
      </w:r>
    </w:p>
    <w:p w:rsidR="007720BA" w:rsidRPr="00920732" w:rsidRDefault="00450930">
      <w:pPr>
        <w:ind w:left="720"/>
        <w:rPr>
          <w:color w:val="auto"/>
        </w:rPr>
      </w:pPr>
      <w:r w:rsidRPr="00920732">
        <w:rPr>
          <w:noProof/>
          <w:color w:val="auto"/>
        </w:rPr>
        <w:lastRenderedPageBreak/>
        <w:drawing>
          <wp:inline distT="114300" distB="114300" distL="114300" distR="114300">
            <wp:extent cx="4981575" cy="13620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4981575" cy="1362075"/>
                    </a:xfrm>
                    <a:prstGeom prst="rect">
                      <a:avLst/>
                    </a:prstGeom>
                    <a:ln/>
                  </pic:spPr>
                </pic:pic>
              </a:graphicData>
            </a:graphic>
          </wp:inline>
        </w:drawing>
      </w:r>
    </w:p>
    <w:p w:rsidR="007720BA" w:rsidRPr="00920732" w:rsidRDefault="00450930">
      <w:pPr>
        <w:ind w:left="720"/>
        <w:rPr>
          <w:color w:val="auto"/>
        </w:rPr>
      </w:pPr>
      <w:proofErr w:type="gramStart"/>
      <w:r w:rsidRPr="00920732">
        <w:rPr>
          <w:color w:val="auto"/>
        </w:rPr>
        <w:t>and</w:t>
      </w:r>
      <w:proofErr w:type="gramEnd"/>
      <w:r w:rsidRPr="00920732">
        <w:rPr>
          <w:color w:val="auto"/>
        </w:rPr>
        <w:t xml:space="preserve"> adjust the value of H by </w:t>
      </w:r>
    </w:p>
    <w:p w:rsidR="007720BA" w:rsidRPr="00920732" w:rsidRDefault="00450930">
      <w:pPr>
        <w:ind w:left="720"/>
        <w:rPr>
          <w:color w:val="auto"/>
        </w:rPr>
      </w:pPr>
      <w:r w:rsidRPr="00920732">
        <w:rPr>
          <w:noProof/>
          <w:color w:val="auto"/>
        </w:rPr>
        <w:drawing>
          <wp:inline distT="114300" distB="114300" distL="114300" distR="114300">
            <wp:extent cx="2752725" cy="123825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2752725" cy="1238250"/>
                    </a:xfrm>
                    <a:prstGeom prst="rect">
                      <a:avLst/>
                    </a:prstGeom>
                    <a:ln/>
                  </pic:spPr>
                </pic:pic>
              </a:graphicData>
            </a:graphic>
          </wp:inline>
        </w:drawing>
      </w:r>
    </w:p>
    <w:p w:rsidR="007720BA" w:rsidRPr="00920732" w:rsidRDefault="00450930">
      <w:pPr>
        <w:ind w:left="720"/>
        <w:rPr>
          <w:color w:val="auto"/>
        </w:rPr>
      </w:pPr>
      <w:proofErr w:type="gramStart"/>
      <w:r w:rsidRPr="00920732">
        <w:rPr>
          <w:color w:val="auto"/>
        </w:rPr>
        <w:t>where</w:t>
      </w:r>
      <w:proofErr w:type="gramEnd"/>
      <w:r w:rsidRPr="00920732">
        <w:rPr>
          <w:color w:val="auto"/>
        </w:rPr>
        <w:t xml:space="preserve"> </w:t>
      </w:r>
      <w:proofErr w:type="spellStart"/>
      <w:r w:rsidRPr="00920732">
        <w:rPr>
          <w:i/>
          <w:color w:val="auto"/>
        </w:rPr>
        <w:t>t</w:t>
      </w:r>
      <w:r w:rsidRPr="00920732">
        <w:rPr>
          <w:i/>
          <w:color w:val="auto"/>
          <w:vertAlign w:val="subscript"/>
        </w:rPr>
        <w:t>i</w:t>
      </w:r>
      <w:proofErr w:type="spellEnd"/>
      <w:r w:rsidRPr="00920732">
        <w:rPr>
          <w:color w:val="auto"/>
        </w:rPr>
        <w:t xml:space="preserve"> is the number of observations that are tied. Compare the test statistic with the critical chi-square value, which has k-1 degrees of freedom. How does this comparison relate to that generated in part (b)</w:t>
      </w:r>
      <w:r w:rsidR="00305B51" w:rsidRPr="00920732">
        <w:rPr>
          <w:color w:val="auto"/>
        </w:rPr>
        <w:t>?</w:t>
      </w:r>
    </w:p>
    <w:p w:rsidR="007720BA" w:rsidRPr="00920732" w:rsidRDefault="007720BA">
      <w:pPr>
        <w:ind w:left="720"/>
        <w:rPr>
          <w:color w:val="auto"/>
        </w:rPr>
      </w:pPr>
    </w:p>
    <w:p w:rsidR="007720BA" w:rsidRPr="00920732" w:rsidRDefault="00450930">
      <w:pPr>
        <w:numPr>
          <w:ilvl w:val="0"/>
          <w:numId w:val="2"/>
        </w:numPr>
        <w:ind w:left="360" w:hanging="359"/>
        <w:contextualSpacing/>
        <w:rPr>
          <w:color w:val="auto"/>
        </w:rPr>
      </w:pPr>
      <w:r w:rsidRPr="00920732">
        <w:rPr>
          <w:color w:val="auto"/>
        </w:rPr>
        <w:t xml:space="preserve">Find the variance and mean for each of the following categories of mineral deposit data. Then use ANOVA (with 𝛂 = .05) to test whether the population means differ, and present and test the null and alternative hypotheses. </w:t>
      </w:r>
    </w:p>
    <w:p w:rsidR="007720BA" w:rsidRPr="00920732" w:rsidRDefault="007720BA">
      <w:pPr>
        <w:rPr>
          <w:color w:val="auto"/>
        </w:rPr>
      </w:pPr>
    </w:p>
    <w:p w:rsidR="007720BA" w:rsidRPr="00920732" w:rsidRDefault="007720BA">
      <w:pPr>
        <w:rPr>
          <w:color w:val="auto"/>
        </w:rPr>
      </w:pPr>
    </w:p>
    <w:tbl>
      <w:tblPr>
        <w:tblStyle w:val="a3"/>
        <w:tblW w:w="826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340"/>
        <w:gridCol w:w="2340"/>
        <w:gridCol w:w="2340"/>
      </w:tblGrid>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Record</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color w:val="auto"/>
              </w:rPr>
              <w:t>Deposit A</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color w:val="auto"/>
              </w:rPr>
              <w:t>Deposit B</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b/>
                <w:color w:val="auto"/>
              </w:rPr>
              <w:t>Deposit C</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2</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22</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4</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6</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8</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26</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18</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9</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12</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r>
      <w:tr w:rsidR="00920732"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13</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17</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16</w:t>
            </w:r>
          </w:p>
        </w:tc>
      </w:tr>
      <w:tr w:rsidR="007720BA" w:rsidRPr="00920732">
        <w:tc>
          <w:tcPr>
            <w:tcW w:w="124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14</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16</w:t>
            </w:r>
          </w:p>
        </w:tc>
        <w:tc>
          <w:tcPr>
            <w:tcW w:w="23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16</w:t>
            </w:r>
          </w:p>
        </w:tc>
      </w:tr>
    </w:tbl>
    <w:p w:rsidR="007720BA" w:rsidRPr="00920732" w:rsidRDefault="007720BA">
      <w:pPr>
        <w:rPr>
          <w:color w:val="auto"/>
        </w:rPr>
      </w:pPr>
    </w:p>
    <w:p w:rsidR="007720BA" w:rsidRPr="00920732" w:rsidRDefault="007720BA">
      <w:pPr>
        <w:rPr>
          <w:color w:val="auto"/>
        </w:rPr>
      </w:pPr>
    </w:p>
    <w:p w:rsidR="007720BA" w:rsidRPr="00920732" w:rsidRDefault="00450930">
      <w:pPr>
        <w:numPr>
          <w:ilvl w:val="0"/>
          <w:numId w:val="2"/>
        </w:numPr>
        <w:ind w:left="360" w:hanging="359"/>
        <w:contextualSpacing/>
        <w:rPr>
          <w:color w:val="auto"/>
        </w:rPr>
      </w:pPr>
      <w:r w:rsidRPr="00920732">
        <w:rPr>
          <w:color w:val="auto"/>
        </w:rPr>
        <w:t>Use ANOVA (with 𝛂 = .10) to test the null hypothesis that the means of the following data are equal</w:t>
      </w:r>
    </w:p>
    <w:p w:rsidR="007720BA" w:rsidRPr="00920732" w:rsidRDefault="007720BA">
      <w:pPr>
        <w:rPr>
          <w:color w:val="auto"/>
        </w:rPr>
      </w:pPr>
    </w:p>
    <w:tbl>
      <w:tblPr>
        <w:tblStyle w:val="a4"/>
        <w:tblW w:w="8100"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455"/>
        <w:gridCol w:w="1440"/>
        <w:gridCol w:w="1395"/>
        <w:gridCol w:w="2295"/>
      </w:tblGrid>
      <w:tr w:rsidR="00920732" w:rsidRPr="00920732">
        <w:tc>
          <w:tcPr>
            <w:tcW w:w="1515" w:type="dxa"/>
            <w:tcMar>
              <w:top w:w="100" w:type="dxa"/>
              <w:left w:w="100" w:type="dxa"/>
              <w:bottom w:w="100" w:type="dxa"/>
              <w:right w:w="100" w:type="dxa"/>
            </w:tcMar>
          </w:tcPr>
          <w:p w:rsidR="007720BA" w:rsidRPr="00920732" w:rsidRDefault="007720BA">
            <w:pPr>
              <w:widowControl w:val="0"/>
              <w:spacing w:line="240" w:lineRule="auto"/>
              <w:rPr>
                <w:color w:val="auto"/>
              </w:rPr>
            </w:pPr>
          </w:p>
        </w:tc>
        <w:tc>
          <w:tcPr>
            <w:tcW w:w="145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A</w:t>
            </w:r>
          </w:p>
        </w:tc>
        <w:tc>
          <w:tcPr>
            <w:tcW w:w="144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B</w:t>
            </w:r>
          </w:p>
        </w:tc>
        <w:tc>
          <w:tcPr>
            <w:tcW w:w="139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C</w:t>
            </w:r>
          </w:p>
        </w:tc>
        <w:tc>
          <w:tcPr>
            <w:tcW w:w="2295" w:type="dxa"/>
            <w:tcMar>
              <w:top w:w="100" w:type="dxa"/>
              <w:left w:w="100" w:type="dxa"/>
              <w:bottom w:w="100" w:type="dxa"/>
              <w:right w:w="100" w:type="dxa"/>
            </w:tcMar>
          </w:tcPr>
          <w:p w:rsidR="007720BA" w:rsidRPr="00920732" w:rsidRDefault="00305B51">
            <w:pPr>
              <w:widowControl w:val="0"/>
              <w:spacing w:line="240" w:lineRule="auto"/>
              <w:jc w:val="center"/>
              <w:rPr>
                <w:color w:val="auto"/>
              </w:rPr>
            </w:pPr>
            <w:r w:rsidRPr="00920732">
              <w:rPr>
                <w:b/>
                <w:color w:val="auto"/>
              </w:rPr>
              <w:t>Combined s</w:t>
            </w:r>
            <w:r w:rsidR="00450930" w:rsidRPr="00920732">
              <w:rPr>
                <w:b/>
                <w:color w:val="auto"/>
              </w:rPr>
              <w:t>ample</w:t>
            </w:r>
          </w:p>
        </w:tc>
      </w:tr>
      <w:tr w:rsidR="00920732" w:rsidRPr="00920732">
        <w:tc>
          <w:tcPr>
            <w:tcW w:w="151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i/>
                <w:color w:val="auto"/>
              </w:rPr>
              <w:t>n</w:t>
            </w:r>
          </w:p>
        </w:tc>
        <w:tc>
          <w:tcPr>
            <w:tcW w:w="145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15</w:t>
            </w:r>
          </w:p>
        </w:tc>
        <w:tc>
          <w:tcPr>
            <w:tcW w:w="144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11</w:t>
            </w:r>
          </w:p>
        </w:tc>
        <w:tc>
          <w:tcPr>
            <w:tcW w:w="13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14</w:t>
            </w:r>
          </w:p>
        </w:tc>
        <w:tc>
          <w:tcPr>
            <w:tcW w:w="22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40</w:t>
            </w:r>
          </w:p>
        </w:tc>
      </w:tr>
      <w:tr w:rsidR="00920732" w:rsidRPr="00920732">
        <w:tc>
          <w:tcPr>
            <w:tcW w:w="151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b/>
                <w:i/>
                <w:color w:val="auto"/>
              </w:rPr>
              <w:t>Mean</w:t>
            </w:r>
          </w:p>
        </w:tc>
        <w:tc>
          <w:tcPr>
            <w:tcW w:w="145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79.6</w:t>
            </w:r>
          </w:p>
        </w:tc>
        <w:tc>
          <w:tcPr>
            <w:tcW w:w="144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74.5</w:t>
            </w:r>
          </w:p>
        </w:tc>
        <w:tc>
          <w:tcPr>
            <w:tcW w:w="13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78.9</w:t>
            </w:r>
          </w:p>
        </w:tc>
        <w:tc>
          <w:tcPr>
            <w:tcW w:w="22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78.0</w:t>
            </w:r>
          </w:p>
        </w:tc>
      </w:tr>
      <w:tr w:rsidR="007720BA" w:rsidRPr="00920732">
        <w:tc>
          <w:tcPr>
            <w:tcW w:w="1515" w:type="dxa"/>
            <w:tcMar>
              <w:top w:w="100" w:type="dxa"/>
              <w:left w:w="100" w:type="dxa"/>
              <w:bottom w:w="100" w:type="dxa"/>
              <w:right w:w="100" w:type="dxa"/>
            </w:tcMar>
          </w:tcPr>
          <w:p w:rsidR="007720BA" w:rsidRPr="00920732" w:rsidRDefault="00450930">
            <w:pPr>
              <w:widowControl w:val="0"/>
              <w:spacing w:line="240" w:lineRule="auto"/>
              <w:rPr>
                <w:color w:val="auto"/>
              </w:rPr>
            </w:pPr>
            <w:proofErr w:type="spellStart"/>
            <w:r w:rsidRPr="00920732">
              <w:rPr>
                <w:b/>
                <w:i/>
                <w:color w:val="auto"/>
              </w:rPr>
              <w:t>Std</w:t>
            </w:r>
            <w:proofErr w:type="spellEnd"/>
            <w:r w:rsidRPr="00920732">
              <w:rPr>
                <w:b/>
                <w:i/>
                <w:color w:val="auto"/>
              </w:rPr>
              <w:t xml:space="preserve"> Dev</w:t>
            </w:r>
          </w:p>
        </w:tc>
        <w:tc>
          <w:tcPr>
            <w:tcW w:w="145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3.1</w:t>
            </w:r>
          </w:p>
        </w:tc>
        <w:tc>
          <w:tcPr>
            <w:tcW w:w="1440"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8.8</w:t>
            </w:r>
          </w:p>
        </w:tc>
        <w:tc>
          <w:tcPr>
            <w:tcW w:w="13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3.9</w:t>
            </w:r>
          </w:p>
        </w:tc>
        <w:tc>
          <w:tcPr>
            <w:tcW w:w="2295" w:type="dxa"/>
            <w:tcMar>
              <w:top w:w="100" w:type="dxa"/>
              <w:left w:w="100" w:type="dxa"/>
              <w:bottom w:w="100" w:type="dxa"/>
              <w:right w:w="100" w:type="dxa"/>
            </w:tcMar>
          </w:tcPr>
          <w:p w:rsidR="007720BA" w:rsidRPr="00920732" w:rsidRDefault="00450930">
            <w:pPr>
              <w:widowControl w:val="0"/>
              <w:spacing w:line="240" w:lineRule="auto"/>
              <w:rPr>
                <w:color w:val="auto"/>
              </w:rPr>
            </w:pPr>
            <w:r w:rsidRPr="00920732">
              <w:rPr>
                <w:color w:val="auto"/>
              </w:rPr>
              <w:t>5.7</w:t>
            </w:r>
          </w:p>
        </w:tc>
      </w:tr>
    </w:tbl>
    <w:p w:rsidR="007720BA" w:rsidRPr="00920732" w:rsidRDefault="007720BA">
      <w:pPr>
        <w:rPr>
          <w:color w:val="auto"/>
        </w:rPr>
      </w:pPr>
    </w:p>
    <w:p w:rsidR="007720BA" w:rsidRPr="00920732" w:rsidRDefault="00450930">
      <w:pPr>
        <w:numPr>
          <w:ilvl w:val="0"/>
          <w:numId w:val="2"/>
        </w:numPr>
        <w:ind w:left="360" w:hanging="359"/>
        <w:contextualSpacing/>
        <w:rPr>
          <w:color w:val="auto"/>
        </w:rPr>
      </w:pPr>
      <w:r w:rsidRPr="00920732">
        <w:rPr>
          <w:color w:val="auto"/>
        </w:rPr>
        <w:t>Use the following data to:</w:t>
      </w:r>
    </w:p>
    <w:p w:rsidR="007720BA" w:rsidRPr="00920732" w:rsidRDefault="00450930">
      <w:pPr>
        <w:numPr>
          <w:ilvl w:val="1"/>
          <w:numId w:val="2"/>
        </w:numPr>
        <w:ind w:left="720" w:hanging="359"/>
        <w:contextualSpacing/>
        <w:rPr>
          <w:color w:val="auto"/>
        </w:rPr>
      </w:pPr>
      <w:r w:rsidRPr="00920732">
        <w:rPr>
          <w:color w:val="auto"/>
        </w:rPr>
        <w:t>Present the post hoc contrasts and identify which (if any) of the paired differences are significant.</w:t>
      </w:r>
    </w:p>
    <w:p w:rsidR="007720BA" w:rsidRPr="00920732" w:rsidRDefault="00450930">
      <w:pPr>
        <w:numPr>
          <w:ilvl w:val="1"/>
          <w:numId w:val="2"/>
        </w:numPr>
        <w:ind w:left="720" w:hanging="359"/>
        <w:contextualSpacing/>
        <w:rPr>
          <w:color w:val="auto"/>
        </w:rPr>
      </w:pPr>
      <w:r w:rsidRPr="00920732">
        <w:rPr>
          <w:color w:val="auto"/>
        </w:rPr>
        <w:t>Carry out an a priori test of the hypothesis that each of the categories differs from each of the other categories (A versus B, B versus C, A versus C).</w:t>
      </w:r>
    </w:p>
    <w:p w:rsidR="007720BA" w:rsidRPr="00920732" w:rsidRDefault="007720BA" w:rsidP="00305B51">
      <w:pPr>
        <w:ind w:left="720"/>
        <w:rPr>
          <w:color w:val="auto"/>
        </w:rPr>
      </w:pPr>
    </w:p>
    <w:p w:rsidR="007720BA" w:rsidRPr="00920732" w:rsidRDefault="00305B51" w:rsidP="00305B51">
      <w:pPr>
        <w:ind w:left="720"/>
        <w:rPr>
          <w:color w:val="auto"/>
        </w:rPr>
      </w:pPr>
      <w:r w:rsidRPr="00920732">
        <w:rPr>
          <w:b/>
          <w:color w:val="auto"/>
        </w:rPr>
        <w:t xml:space="preserve">         </w:t>
      </w:r>
      <w:r w:rsidR="00450930" w:rsidRPr="00920732">
        <w:rPr>
          <w:b/>
          <w:color w:val="auto"/>
        </w:rPr>
        <w:t xml:space="preserve">Height in </w:t>
      </w:r>
      <w:proofErr w:type="spellStart"/>
      <w:r w:rsidR="00450930" w:rsidRPr="00920732">
        <w:rPr>
          <w:b/>
          <w:color w:val="auto"/>
        </w:rPr>
        <w:t>Centimeters</w:t>
      </w:r>
      <w:proofErr w:type="spellEnd"/>
      <w:r w:rsidR="00450930" w:rsidRPr="00920732">
        <w:rPr>
          <w:b/>
          <w:color w:val="auto"/>
        </w:rPr>
        <w:t xml:space="preserve"> of Little League Baseball Team Players</w:t>
      </w:r>
    </w:p>
    <w:tbl>
      <w:tblPr>
        <w:tblStyle w:val="a5"/>
        <w:tblW w:w="5430" w:type="dxa"/>
        <w:tblInd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875"/>
        <w:gridCol w:w="1815"/>
      </w:tblGrid>
      <w:tr w:rsidR="00920732" w:rsidRPr="00920732">
        <w:tc>
          <w:tcPr>
            <w:tcW w:w="1740"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A</w:t>
            </w:r>
          </w:p>
        </w:tc>
        <w:tc>
          <w:tcPr>
            <w:tcW w:w="187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B</w:t>
            </w:r>
          </w:p>
        </w:tc>
        <w:tc>
          <w:tcPr>
            <w:tcW w:w="1815" w:type="dxa"/>
            <w:tcMar>
              <w:top w:w="100" w:type="dxa"/>
              <w:left w:w="100" w:type="dxa"/>
              <w:bottom w:w="100" w:type="dxa"/>
              <w:right w:w="100" w:type="dxa"/>
            </w:tcMar>
          </w:tcPr>
          <w:p w:rsidR="007720BA" w:rsidRPr="00920732" w:rsidRDefault="00450930">
            <w:pPr>
              <w:widowControl w:val="0"/>
              <w:spacing w:line="240" w:lineRule="auto"/>
              <w:jc w:val="center"/>
              <w:rPr>
                <w:color w:val="auto"/>
              </w:rPr>
            </w:pPr>
            <w:r w:rsidRPr="00920732">
              <w:rPr>
                <w:b/>
                <w:color w:val="auto"/>
              </w:rPr>
              <w:t>C</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140</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140</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143</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132</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131</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156</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125</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117</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151</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145</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123</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157</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152</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113</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127</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118</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112</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121</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135</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127</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128</w:t>
            </w:r>
          </w:p>
        </w:tc>
      </w:tr>
      <w:tr w:rsidR="00920732"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147</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106</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149</w:t>
            </w:r>
          </w:p>
        </w:tc>
      </w:tr>
      <w:tr w:rsidR="007720BA" w:rsidRPr="00920732">
        <w:tc>
          <w:tcPr>
            <w:tcW w:w="1740"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140</w:t>
            </w:r>
          </w:p>
        </w:tc>
        <w:tc>
          <w:tcPr>
            <w:tcW w:w="187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112</w:t>
            </w:r>
          </w:p>
        </w:tc>
        <w:tc>
          <w:tcPr>
            <w:tcW w:w="1815" w:type="dxa"/>
            <w:tcMar>
              <w:top w:w="100" w:type="dxa"/>
              <w:left w:w="100" w:type="dxa"/>
              <w:bottom w:w="100" w:type="dxa"/>
              <w:right w:w="100" w:type="dxa"/>
            </w:tcMar>
          </w:tcPr>
          <w:p w:rsidR="007720BA" w:rsidRPr="00920732" w:rsidRDefault="00450930" w:rsidP="00305B51">
            <w:pPr>
              <w:widowControl w:val="0"/>
              <w:spacing w:line="240" w:lineRule="auto"/>
              <w:jc w:val="center"/>
              <w:rPr>
                <w:color w:val="auto"/>
              </w:rPr>
            </w:pPr>
            <w:r w:rsidRPr="00920732">
              <w:rPr>
                <w:color w:val="auto"/>
              </w:rPr>
              <w:t>129</w:t>
            </w:r>
          </w:p>
        </w:tc>
      </w:tr>
    </w:tbl>
    <w:p w:rsidR="007720BA" w:rsidRPr="00920732" w:rsidRDefault="007720BA">
      <w:pPr>
        <w:rPr>
          <w:color w:val="auto"/>
        </w:rPr>
      </w:pPr>
    </w:p>
    <w:p w:rsidR="007720BA" w:rsidRPr="00920732" w:rsidRDefault="00450930">
      <w:pPr>
        <w:numPr>
          <w:ilvl w:val="0"/>
          <w:numId w:val="2"/>
        </w:numPr>
        <w:ind w:left="360" w:hanging="359"/>
        <w:contextualSpacing/>
        <w:rPr>
          <w:color w:val="auto"/>
        </w:rPr>
      </w:pPr>
      <w:r w:rsidRPr="00920732">
        <w:rPr>
          <w:color w:val="auto"/>
        </w:rPr>
        <w:lastRenderedPageBreak/>
        <w:t xml:space="preserve">Using SPSS, </w:t>
      </w:r>
      <w:proofErr w:type="spellStart"/>
      <w:r w:rsidRPr="00920732">
        <w:rPr>
          <w:color w:val="auto"/>
        </w:rPr>
        <w:t>analyze</w:t>
      </w:r>
      <w:proofErr w:type="spellEnd"/>
      <w:r w:rsidRPr="00920732">
        <w:rPr>
          <w:color w:val="auto"/>
        </w:rPr>
        <w:t xml:space="preserve"> the SPSS Housing dataset and determine whether the floor area varies with the number of bedrooms in a house. Report the results of </w:t>
      </w:r>
      <w:proofErr w:type="spellStart"/>
      <w:r w:rsidRPr="00920732">
        <w:rPr>
          <w:color w:val="auto"/>
        </w:rPr>
        <w:t>Levene’s</w:t>
      </w:r>
      <w:proofErr w:type="spellEnd"/>
      <w:r w:rsidRPr="00920732">
        <w:rPr>
          <w:color w:val="auto"/>
        </w:rPr>
        <w:t xml:space="preserve"> test and describe how much confidence a researcher might have in the results.</w:t>
      </w:r>
    </w:p>
    <w:p w:rsidR="000B156C" w:rsidRPr="00920732" w:rsidRDefault="000B156C" w:rsidP="000B156C">
      <w:pPr>
        <w:ind w:left="360"/>
        <w:contextualSpacing/>
        <w:rPr>
          <w:color w:val="auto"/>
        </w:rPr>
      </w:pPr>
    </w:p>
    <w:p w:rsidR="000B156C" w:rsidRPr="00920732" w:rsidRDefault="00352481">
      <w:pPr>
        <w:numPr>
          <w:ilvl w:val="0"/>
          <w:numId w:val="2"/>
        </w:numPr>
        <w:ind w:left="360" w:hanging="359"/>
        <w:contextualSpacing/>
        <w:rPr>
          <w:color w:val="auto"/>
        </w:rPr>
      </w:pPr>
      <w:r w:rsidRPr="00920732">
        <w:rPr>
          <w:color w:val="auto"/>
        </w:rPr>
        <w:t>Divide the data in the Singapore Census file into areas with percent renter ≤ 0.1, 0.1 ≤ 0.2, 0.2 ≤ 0.3, 0.3 ≤.  U</w:t>
      </w:r>
      <w:r w:rsidR="00305B51" w:rsidRPr="00920732">
        <w:rPr>
          <w:color w:val="auto"/>
        </w:rPr>
        <w:t>sing SPSS determine whether:</w:t>
      </w:r>
    </w:p>
    <w:p w:rsidR="00352481" w:rsidRPr="00920732" w:rsidRDefault="00305B51" w:rsidP="00352481">
      <w:pPr>
        <w:numPr>
          <w:ilvl w:val="1"/>
          <w:numId w:val="2"/>
        </w:numPr>
        <w:ind w:left="720" w:hanging="360"/>
        <w:contextualSpacing/>
        <w:rPr>
          <w:color w:val="auto"/>
        </w:rPr>
      </w:pPr>
      <w:r w:rsidRPr="00920732">
        <w:rPr>
          <w:color w:val="auto"/>
        </w:rPr>
        <w:t xml:space="preserve">the </w:t>
      </w:r>
      <w:r w:rsidR="00352481" w:rsidRPr="00920732">
        <w:rPr>
          <w:color w:val="auto"/>
        </w:rPr>
        <w:t>English speakers varies with the percent renters in a district</w:t>
      </w:r>
    </w:p>
    <w:p w:rsidR="00352481" w:rsidRPr="00920732" w:rsidRDefault="00305B51" w:rsidP="00352481">
      <w:pPr>
        <w:numPr>
          <w:ilvl w:val="1"/>
          <w:numId w:val="2"/>
        </w:numPr>
        <w:ind w:left="720" w:hanging="360"/>
        <w:contextualSpacing/>
        <w:rPr>
          <w:color w:val="auto"/>
        </w:rPr>
      </w:pPr>
      <w:proofErr w:type="gramStart"/>
      <w:r w:rsidRPr="00920732">
        <w:rPr>
          <w:color w:val="auto"/>
        </w:rPr>
        <w:t>the</w:t>
      </w:r>
      <w:proofErr w:type="gramEnd"/>
      <w:r w:rsidRPr="00920732">
        <w:rPr>
          <w:color w:val="auto"/>
        </w:rPr>
        <w:t xml:space="preserve"> u</w:t>
      </w:r>
      <w:r w:rsidR="00352481" w:rsidRPr="00920732">
        <w:rPr>
          <w:color w:val="auto"/>
        </w:rPr>
        <w:t>nemployment rate varies with the percent renters in a district</w:t>
      </w:r>
      <w:r w:rsidRPr="00920732">
        <w:rPr>
          <w:color w:val="auto"/>
        </w:rPr>
        <w:t>.</w:t>
      </w:r>
    </w:p>
    <w:p w:rsidR="00352481" w:rsidRPr="00920732" w:rsidRDefault="00352481" w:rsidP="00352481">
      <w:pPr>
        <w:ind w:left="360"/>
        <w:contextualSpacing/>
        <w:rPr>
          <w:color w:val="auto"/>
        </w:rPr>
      </w:pPr>
      <w:r w:rsidRPr="00920732">
        <w:rPr>
          <w:color w:val="auto"/>
        </w:rPr>
        <w:t>Include a discussion of post hoc tests to identify which sub-sets appear to differ</w:t>
      </w:r>
      <w:r w:rsidR="00305B51" w:rsidRPr="00920732">
        <w:rPr>
          <w:color w:val="auto"/>
        </w:rPr>
        <w:t>.</w:t>
      </w:r>
    </w:p>
    <w:p w:rsidR="007720BA" w:rsidRPr="00920732" w:rsidRDefault="007720BA">
      <w:pPr>
        <w:rPr>
          <w:color w:val="auto"/>
        </w:rPr>
      </w:pPr>
    </w:p>
    <w:p w:rsidR="007720BA" w:rsidRPr="00920732" w:rsidRDefault="00450930">
      <w:pPr>
        <w:numPr>
          <w:ilvl w:val="0"/>
          <w:numId w:val="2"/>
        </w:numPr>
        <w:ind w:left="360" w:hanging="359"/>
        <w:contextualSpacing/>
        <w:rPr>
          <w:color w:val="auto"/>
        </w:rPr>
      </w:pPr>
      <w:r w:rsidRPr="00920732">
        <w:rPr>
          <w:color w:val="auto"/>
        </w:rPr>
        <w:t>Using the SPSS Housing dataset and 𝛂 = .05, consider the following:</w:t>
      </w:r>
    </w:p>
    <w:p w:rsidR="007720BA" w:rsidRPr="00920732" w:rsidRDefault="00450930">
      <w:pPr>
        <w:numPr>
          <w:ilvl w:val="1"/>
          <w:numId w:val="2"/>
        </w:numPr>
        <w:ind w:left="720" w:hanging="359"/>
        <w:contextualSpacing/>
        <w:rPr>
          <w:color w:val="auto"/>
        </w:rPr>
      </w:pPr>
      <w:r w:rsidRPr="00920732">
        <w:rPr>
          <w:color w:val="auto"/>
        </w:rPr>
        <w:t>Carry out an a priori test of the hypothesis that the average year in which houses were built in different regions varies. Specifically, test whether the mean year in Regions 1 and 3 differs.</w:t>
      </w:r>
    </w:p>
    <w:p w:rsidR="007720BA" w:rsidRPr="00920732" w:rsidRDefault="00450930">
      <w:pPr>
        <w:numPr>
          <w:ilvl w:val="1"/>
          <w:numId w:val="2"/>
        </w:numPr>
        <w:ind w:left="720" w:hanging="359"/>
        <w:contextualSpacing/>
        <w:rPr>
          <w:color w:val="auto"/>
        </w:rPr>
      </w:pPr>
      <w:r w:rsidRPr="00920732">
        <w:rPr>
          <w:color w:val="auto"/>
        </w:rPr>
        <w:t xml:space="preserve">Consider the post hoc contrasts associated with exploring how the unemployment rate varies by region. Are there any significant differences between the mean unemployment </w:t>
      </w:r>
      <w:proofErr w:type="gramStart"/>
      <w:r w:rsidRPr="00920732">
        <w:rPr>
          <w:color w:val="auto"/>
        </w:rPr>
        <w:t>rate</w:t>
      </w:r>
      <w:proofErr w:type="gramEnd"/>
      <w:r w:rsidRPr="00920732">
        <w:rPr>
          <w:color w:val="auto"/>
        </w:rPr>
        <w:t xml:space="preserve"> in different regions?</w:t>
      </w:r>
    </w:p>
    <w:p w:rsidR="007720BA" w:rsidRPr="00920732" w:rsidRDefault="007720BA">
      <w:pPr>
        <w:ind w:left="720"/>
        <w:rPr>
          <w:color w:val="auto"/>
        </w:rPr>
      </w:pPr>
    </w:p>
    <w:p w:rsidR="007720BA" w:rsidRPr="00920732" w:rsidRDefault="007720BA">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pPr>
        <w:rPr>
          <w:color w:val="auto"/>
        </w:rPr>
      </w:pPr>
    </w:p>
    <w:p w:rsidR="00920732" w:rsidRPr="00920732" w:rsidRDefault="00920732" w:rsidP="00920732">
      <w:pPr>
        <w:rPr>
          <w:color w:val="auto"/>
        </w:rPr>
      </w:pPr>
      <w:r w:rsidRPr="00920732">
        <w:rPr>
          <w:b/>
          <w:color w:val="auto"/>
        </w:rPr>
        <w:t>Chapter 6 Solutions</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numPr>
          <w:ilvl w:val="1"/>
          <w:numId w:val="1"/>
        </w:numPr>
        <w:ind w:left="810" w:hanging="359"/>
        <w:contextualSpacing/>
        <w:rPr>
          <w:color w:val="auto"/>
        </w:rPr>
      </w:pPr>
    </w:p>
    <w:tbl>
      <w:tblPr>
        <w:tblW w:w="855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2850"/>
        <w:gridCol w:w="2850"/>
      </w:tblGrid>
      <w:tr w:rsidR="00920732" w:rsidRPr="00920732" w:rsidTr="00B252BB">
        <w:tc>
          <w:tcPr>
            <w:tcW w:w="2850" w:type="dxa"/>
            <w:tcMar>
              <w:top w:w="100" w:type="dxa"/>
              <w:left w:w="100" w:type="dxa"/>
              <w:bottom w:w="100" w:type="dxa"/>
              <w:right w:w="100" w:type="dxa"/>
            </w:tcMar>
          </w:tcPr>
          <w:p w:rsidR="00920732" w:rsidRPr="00920732" w:rsidRDefault="00920732" w:rsidP="00B252BB">
            <w:pPr>
              <w:widowControl w:val="0"/>
              <w:spacing w:line="240" w:lineRule="auto"/>
              <w:rPr>
                <w:color w:val="auto"/>
              </w:rPr>
            </w:pP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Mean</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Std. Deviation</w:t>
            </w:r>
          </w:p>
        </w:tc>
      </w:tr>
      <w:tr w:rsidR="00920732" w:rsidRPr="00920732" w:rsidTr="00B252BB">
        <w:tc>
          <w:tcPr>
            <w:tcW w:w="2850" w:type="dxa"/>
            <w:tcMar>
              <w:top w:w="100" w:type="dxa"/>
              <w:left w:w="100" w:type="dxa"/>
              <w:bottom w:w="100" w:type="dxa"/>
              <w:right w:w="100" w:type="dxa"/>
            </w:tcMar>
          </w:tcPr>
          <w:p w:rsidR="00920732" w:rsidRPr="00920732" w:rsidRDefault="00920732" w:rsidP="00B252BB">
            <w:pPr>
              <w:widowControl w:val="0"/>
              <w:spacing w:line="240" w:lineRule="auto"/>
              <w:rPr>
                <w:color w:val="auto"/>
              </w:rPr>
            </w:pPr>
            <w:r w:rsidRPr="00920732">
              <w:rPr>
                <w:color w:val="auto"/>
              </w:rPr>
              <w:t>Computer science</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0.632</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0.021</w:t>
            </w:r>
          </w:p>
        </w:tc>
      </w:tr>
      <w:tr w:rsidR="00920732" w:rsidRPr="00920732" w:rsidTr="00B252BB">
        <w:tc>
          <w:tcPr>
            <w:tcW w:w="2850" w:type="dxa"/>
            <w:tcMar>
              <w:top w:w="100" w:type="dxa"/>
              <w:left w:w="100" w:type="dxa"/>
              <w:bottom w:w="100" w:type="dxa"/>
              <w:right w:w="100" w:type="dxa"/>
            </w:tcMar>
          </w:tcPr>
          <w:p w:rsidR="00920732" w:rsidRPr="00920732" w:rsidRDefault="00920732" w:rsidP="00B252BB">
            <w:pPr>
              <w:widowControl w:val="0"/>
              <w:spacing w:line="240" w:lineRule="auto"/>
              <w:rPr>
                <w:color w:val="auto"/>
              </w:rPr>
            </w:pPr>
            <w:r w:rsidRPr="00920732">
              <w:rPr>
                <w:color w:val="auto"/>
              </w:rPr>
              <w:t>History</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0.705</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0.098</w:t>
            </w:r>
          </w:p>
        </w:tc>
      </w:tr>
      <w:tr w:rsidR="00920732" w:rsidRPr="00920732" w:rsidTr="00B252BB">
        <w:tc>
          <w:tcPr>
            <w:tcW w:w="2850" w:type="dxa"/>
            <w:tcMar>
              <w:top w:w="100" w:type="dxa"/>
              <w:left w:w="100" w:type="dxa"/>
              <w:bottom w:w="100" w:type="dxa"/>
              <w:right w:w="100" w:type="dxa"/>
            </w:tcMar>
          </w:tcPr>
          <w:p w:rsidR="00920732" w:rsidRPr="00920732" w:rsidRDefault="00920732" w:rsidP="00B252BB">
            <w:pPr>
              <w:widowControl w:val="0"/>
              <w:spacing w:line="240" w:lineRule="auto"/>
              <w:rPr>
                <w:color w:val="auto"/>
              </w:rPr>
            </w:pPr>
            <w:r w:rsidRPr="00920732">
              <w:rPr>
                <w:color w:val="auto"/>
              </w:rPr>
              <w:t>Economics</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0.638</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0.102</w:t>
            </w:r>
          </w:p>
        </w:tc>
      </w:tr>
      <w:tr w:rsidR="00920732" w:rsidRPr="00920732" w:rsidTr="00B252BB">
        <w:tc>
          <w:tcPr>
            <w:tcW w:w="2850" w:type="dxa"/>
            <w:tcMar>
              <w:top w:w="100" w:type="dxa"/>
              <w:left w:w="100" w:type="dxa"/>
              <w:bottom w:w="100" w:type="dxa"/>
              <w:right w:w="100" w:type="dxa"/>
            </w:tcMar>
          </w:tcPr>
          <w:p w:rsidR="00920732" w:rsidRPr="00920732" w:rsidRDefault="00920732" w:rsidP="00B252BB">
            <w:pPr>
              <w:widowControl w:val="0"/>
              <w:spacing w:line="240" w:lineRule="auto"/>
              <w:rPr>
                <w:color w:val="auto"/>
              </w:rPr>
            </w:pPr>
            <w:proofErr w:type="spellStart"/>
            <w:r w:rsidRPr="00920732">
              <w:rPr>
                <w:color w:val="auto"/>
              </w:rPr>
              <w:t>Theater</w:t>
            </w:r>
            <w:proofErr w:type="spellEnd"/>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0.677</w:t>
            </w:r>
          </w:p>
        </w:tc>
        <w:tc>
          <w:tcPr>
            <w:tcW w:w="285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0.150</w:t>
            </w:r>
          </w:p>
        </w:tc>
      </w:tr>
    </w:tbl>
    <w:p w:rsidR="00920732" w:rsidRPr="00920732" w:rsidRDefault="00920732" w:rsidP="00920732">
      <w:pPr>
        <w:numPr>
          <w:ilvl w:val="1"/>
          <w:numId w:val="1"/>
        </w:numPr>
        <w:ind w:left="810" w:hanging="359"/>
        <w:contextualSpacing/>
        <w:rPr>
          <w:color w:val="auto"/>
        </w:rPr>
      </w:pPr>
      <w:r w:rsidRPr="00920732">
        <w:rPr>
          <w:color w:val="auto"/>
        </w:rPr>
        <w:t xml:space="preserve">The </w:t>
      </w:r>
      <w:proofErr w:type="spellStart"/>
      <w:r w:rsidRPr="00920732">
        <w:rPr>
          <w:color w:val="auto"/>
        </w:rPr>
        <w:t>Levene</w:t>
      </w:r>
      <w:proofErr w:type="spellEnd"/>
      <w:r w:rsidRPr="00920732">
        <w:rPr>
          <w:color w:val="auto"/>
        </w:rPr>
        <w:t xml:space="preserve"> statistic is 5.2, with a significance level of .008. This is lower than 0.05, which means we should consider the results cautiously.</w:t>
      </w:r>
    </w:p>
    <w:p w:rsidR="00920732" w:rsidRPr="00920732" w:rsidRDefault="00920732" w:rsidP="00920732">
      <w:pPr>
        <w:numPr>
          <w:ilvl w:val="1"/>
          <w:numId w:val="1"/>
        </w:numPr>
        <w:ind w:left="810" w:hanging="359"/>
        <w:contextualSpacing/>
        <w:rPr>
          <w:color w:val="auto"/>
        </w:rPr>
      </w:pPr>
      <w:r w:rsidRPr="00920732">
        <w:rPr>
          <w:color w:val="auto"/>
        </w:rPr>
        <w:t xml:space="preserve">The </w:t>
      </w:r>
      <w:r w:rsidRPr="00920732">
        <w:rPr>
          <w:i/>
          <w:color w:val="auto"/>
        </w:rPr>
        <w:t>f</w:t>
      </w:r>
      <w:r w:rsidRPr="00920732">
        <w:rPr>
          <w:color w:val="auto"/>
        </w:rPr>
        <w:t xml:space="preserve">-statistic is .659, while the critical </w:t>
      </w:r>
      <w:r w:rsidRPr="00920732">
        <w:rPr>
          <w:i/>
          <w:color w:val="auto"/>
        </w:rPr>
        <w:t>f</w:t>
      </w:r>
      <w:r w:rsidRPr="00920732">
        <w:rPr>
          <w:color w:val="auto"/>
        </w:rPr>
        <w:t>-value is f</w:t>
      </w:r>
      <w:r w:rsidRPr="00920732">
        <w:rPr>
          <w:color w:val="auto"/>
          <w:vertAlign w:val="subscript"/>
        </w:rPr>
        <w:t>3</w:t>
      </w:r>
      <w:proofErr w:type="gramStart"/>
      <w:r w:rsidRPr="00920732">
        <w:rPr>
          <w:color w:val="auto"/>
          <w:vertAlign w:val="subscript"/>
        </w:rPr>
        <w:t>,20</w:t>
      </w:r>
      <w:proofErr w:type="gramEnd"/>
      <w:r w:rsidRPr="00920732">
        <w:rPr>
          <w:color w:val="auto"/>
        </w:rPr>
        <w:t xml:space="preserve"> = 3.10. The observed statistic is less than the critical value, so we fail to reject the null hypothesis that all the means are equal.</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numPr>
          <w:ilvl w:val="1"/>
          <w:numId w:val="1"/>
        </w:numPr>
        <w:ind w:left="810" w:hanging="360"/>
        <w:contextualSpacing/>
        <w:rPr>
          <w:i/>
          <w:color w:val="auto"/>
        </w:rPr>
      </w:pPr>
      <w:r w:rsidRPr="00920732">
        <w:rPr>
          <w:i/>
          <w:color w:val="auto"/>
        </w:rPr>
        <w:t>We can calculate the F-statistic as follows:</w:t>
      </w:r>
    </w:p>
    <w:p w:rsidR="00920732" w:rsidRPr="00920732" w:rsidRDefault="00920732" w:rsidP="00920732">
      <w:pPr>
        <w:ind w:left="810"/>
        <w:rPr>
          <w:i/>
          <w:color w:val="auto"/>
        </w:rPr>
      </w:pPr>
      <w:r w:rsidRPr="00920732">
        <w:rPr>
          <w:i/>
          <w:color w:val="auto"/>
        </w:rPr>
        <w:t>BSS = 8*(6.25-5.9)</w:t>
      </w:r>
      <w:r w:rsidRPr="00920732">
        <w:rPr>
          <w:i/>
          <w:color w:val="auto"/>
          <w:vertAlign w:val="superscript"/>
        </w:rPr>
        <w:t>2</w:t>
      </w:r>
      <w:r w:rsidRPr="00920732">
        <w:rPr>
          <w:i/>
          <w:color w:val="auto"/>
        </w:rPr>
        <w:t>+5*(4.8-5.9)</w:t>
      </w:r>
      <w:r w:rsidRPr="00920732">
        <w:rPr>
          <w:i/>
          <w:color w:val="auto"/>
          <w:vertAlign w:val="superscript"/>
        </w:rPr>
        <w:t>2</w:t>
      </w:r>
      <w:r w:rsidRPr="00920732">
        <w:rPr>
          <w:i/>
          <w:color w:val="auto"/>
        </w:rPr>
        <w:t>+6*(6.3-5.9)</w:t>
      </w:r>
      <w:r w:rsidRPr="00920732">
        <w:rPr>
          <w:i/>
          <w:color w:val="auto"/>
          <w:vertAlign w:val="superscript"/>
        </w:rPr>
        <w:t>2</w:t>
      </w:r>
      <w:r w:rsidRPr="00920732">
        <w:rPr>
          <w:i/>
          <w:color w:val="auto"/>
        </w:rPr>
        <w:t>=8.2</w:t>
      </w:r>
    </w:p>
    <w:p w:rsidR="00920732" w:rsidRPr="00920732" w:rsidRDefault="00920732" w:rsidP="00920732">
      <w:pPr>
        <w:ind w:left="810"/>
        <w:rPr>
          <w:i/>
          <w:color w:val="auto"/>
        </w:rPr>
      </w:pPr>
      <w:r w:rsidRPr="00920732">
        <w:rPr>
          <w:i/>
          <w:color w:val="auto"/>
        </w:rPr>
        <w:t>WSS= (8-1)*5.1</w:t>
      </w:r>
      <w:proofErr w:type="gramStart"/>
      <w:r w:rsidRPr="00920732">
        <w:rPr>
          <w:i/>
          <w:color w:val="auto"/>
        </w:rPr>
        <w:t>+(</w:t>
      </w:r>
      <w:proofErr w:type="gramEnd"/>
      <w:r w:rsidRPr="00920732">
        <w:rPr>
          <w:i/>
          <w:color w:val="auto"/>
        </w:rPr>
        <w:t>5-1)*1.7+(6-1)*1.1 = 47.6</w:t>
      </w:r>
    </w:p>
    <w:p w:rsidR="00920732" w:rsidRPr="00920732" w:rsidRDefault="00920732" w:rsidP="00920732">
      <w:pPr>
        <w:ind w:left="810"/>
        <w:rPr>
          <w:i/>
          <w:color w:val="auto"/>
        </w:rPr>
      </w:pPr>
    </w:p>
    <w:p w:rsidR="00920732" w:rsidRPr="00920732" w:rsidRDefault="00920732" w:rsidP="00920732">
      <w:pPr>
        <w:ind w:left="810"/>
        <w:rPr>
          <w:i/>
          <w:color w:val="auto"/>
        </w:rPr>
      </w:pPr>
      <w:r w:rsidRPr="00920732">
        <w:rPr>
          <w:i/>
          <w:color w:val="auto"/>
        </w:rPr>
        <w:t>F = (BSS / (k-1)) / (WSS / (n-k)) = (8.2 / 2) / (47.6 / 16) = 1.37</w:t>
      </w:r>
    </w:p>
    <w:p w:rsidR="00920732" w:rsidRPr="00920732" w:rsidRDefault="00920732" w:rsidP="00920732">
      <w:pPr>
        <w:ind w:left="810"/>
        <w:rPr>
          <w:i/>
          <w:color w:val="auto"/>
        </w:rPr>
      </w:pPr>
    </w:p>
    <w:p w:rsidR="00920732" w:rsidRPr="00920732" w:rsidRDefault="00920732" w:rsidP="00920732">
      <w:pPr>
        <w:ind w:left="810"/>
        <w:rPr>
          <w:i/>
          <w:color w:val="auto"/>
        </w:rPr>
      </w:pPr>
      <w:r w:rsidRPr="00920732">
        <w:rPr>
          <w:i/>
          <w:color w:val="auto"/>
        </w:rPr>
        <w:t>The ANOVA test suggests none of the division absentee counts are significantly different from the others at the &lt; 0.10 level. We therefore fail to reject the null hypothesis.</w:t>
      </w:r>
    </w:p>
    <w:p w:rsidR="00920732" w:rsidRPr="00920732" w:rsidRDefault="00920732" w:rsidP="00920732">
      <w:pPr>
        <w:rPr>
          <w:i/>
          <w:color w:val="auto"/>
        </w:rPr>
      </w:pPr>
      <w:r w:rsidRPr="00920732">
        <w:rPr>
          <w:i/>
          <w:color w:val="auto"/>
        </w:rPr>
        <w:t xml:space="preserve"> </w:t>
      </w:r>
    </w:p>
    <w:p w:rsidR="00920732" w:rsidRPr="00920732" w:rsidRDefault="00920732" w:rsidP="00920732">
      <w:pPr>
        <w:numPr>
          <w:ilvl w:val="1"/>
          <w:numId w:val="1"/>
        </w:numPr>
        <w:ind w:left="810" w:hanging="360"/>
        <w:contextualSpacing/>
        <w:rPr>
          <w:color w:val="auto"/>
        </w:rPr>
      </w:pPr>
      <w:r w:rsidRPr="00920732">
        <w:rPr>
          <w:i/>
          <w:color w:val="auto"/>
        </w:rPr>
        <w:t>The KW statistic is given by summing the ranks of the different groups, so that we get</w:t>
      </w:r>
    </w:p>
    <w:p w:rsidR="00920732" w:rsidRPr="00920732" w:rsidRDefault="00920732" w:rsidP="00920732">
      <w:pPr>
        <w:ind w:left="1080"/>
        <w:contextualSpacing/>
        <w:rPr>
          <w:color w:val="auto"/>
        </w:rPr>
      </w:pPr>
    </w:p>
    <w:p w:rsidR="00920732" w:rsidRPr="00920732" w:rsidRDefault="00920732" w:rsidP="00920732">
      <w:pPr>
        <w:ind w:left="1080"/>
        <w:contextualSpacing/>
        <w:rPr>
          <w:color w:val="auto"/>
        </w:rPr>
      </w:pPr>
      <w:r w:rsidRPr="00920732">
        <w:rPr>
          <w:i/>
          <w:color w:val="auto"/>
        </w:rPr>
        <w:t>H = (12</w:t>
      </w:r>
      <w:proofErr w:type="gramStart"/>
      <w:r w:rsidRPr="00920732">
        <w:rPr>
          <w:i/>
          <w:color w:val="auto"/>
        </w:rPr>
        <w:t>/(</w:t>
      </w:r>
      <w:proofErr w:type="gramEnd"/>
      <w:r w:rsidRPr="00920732">
        <w:rPr>
          <w:i/>
          <w:color w:val="auto"/>
        </w:rPr>
        <w:t>n(n+1)) sum{</w:t>
      </w:r>
      <w:proofErr w:type="spellStart"/>
      <w:r w:rsidRPr="00920732">
        <w:rPr>
          <w:i/>
          <w:color w:val="auto"/>
        </w:rPr>
        <w:t>i</w:t>
      </w:r>
      <w:proofErr w:type="spellEnd"/>
      <w:r w:rsidRPr="00920732">
        <w:rPr>
          <w:i/>
          <w:color w:val="auto"/>
        </w:rPr>
        <w:t>=1-&gt;k} R</w:t>
      </w:r>
      <w:r w:rsidRPr="00920732">
        <w:rPr>
          <w:i/>
          <w:color w:val="auto"/>
          <w:vertAlign w:val="subscript"/>
        </w:rPr>
        <w:t>i</w:t>
      </w:r>
      <w:r w:rsidRPr="00920732">
        <w:rPr>
          <w:i/>
          <w:color w:val="auto"/>
          <w:vertAlign w:val="superscript"/>
        </w:rPr>
        <w:t>2</w:t>
      </w:r>
      <w:r w:rsidRPr="00920732">
        <w:rPr>
          <w:color w:val="auto"/>
        </w:rPr>
        <w:t xml:space="preserve"> / </w:t>
      </w:r>
      <w:proofErr w:type="spellStart"/>
      <w:r w:rsidRPr="00920732">
        <w:rPr>
          <w:color w:val="auto"/>
        </w:rPr>
        <w:t>n</w:t>
      </w:r>
      <w:r w:rsidRPr="00920732">
        <w:rPr>
          <w:color w:val="auto"/>
          <w:vertAlign w:val="subscript"/>
        </w:rPr>
        <w:t>i</w:t>
      </w:r>
      <w:proofErr w:type="spellEnd"/>
      <w:r w:rsidRPr="00920732">
        <w:rPr>
          <w:i/>
          <w:color w:val="auto"/>
        </w:rPr>
        <w:t xml:space="preserve">) - 3(n+1) </w:t>
      </w:r>
    </w:p>
    <w:p w:rsidR="00920732" w:rsidRPr="00920732" w:rsidRDefault="00920732" w:rsidP="00920732">
      <w:pPr>
        <w:ind w:left="1080"/>
        <w:contextualSpacing/>
        <w:rPr>
          <w:color w:val="auto"/>
        </w:rPr>
      </w:pPr>
      <w:r w:rsidRPr="00920732">
        <w:rPr>
          <w:i/>
          <w:color w:val="auto"/>
        </w:rPr>
        <w:t>= (12</w:t>
      </w:r>
      <w:proofErr w:type="gramStart"/>
      <w:r w:rsidRPr="00920732">
        <w:rPr>
          <w:i/>
          <w:color w:val="auto"/>
        </w:rPr>
        <w:t>/(</w:t>
      </w:r>
      <w:proofErr w:type="gramEnd"/>
      <w:r w:rsidRPr="00920732">
        <w:rPr>
          <w:i/>
          <w:color w:val="auto"/>
        </w:rPr>
        <w:t>19(19+1)) sum{</w:t>
      </w:r>
      <w:proofErr w:type="spellStart"/>
      <w:r w:rsidRPr="00920732">
        <w:rPr>
          <w:i/>
          <w:color w:val="auto"/>
        </w:rPr>
        <w:t>i</w:t>
      </w:r>
      <w:proofErr w:type="spellEnd"/>
      <w:r w:rsidRPr="00920732">
        <w:rPr>
          <w:i/>
          <w:color w:val="auto"/>
        </w:rPr>
        <w:t>=1-&gt;k} R</w:t>
      </w:r>
      <w:r w:rsidRPr="00920732">
        <w:rPr>
          <w:i/>
          <w:color w:val="auto"/>
          <w:vertAlign w:val="subscript"/>
        </w:rPr>
        <w:t>i</w:t>
      </w:r>
      <w:r w:rsidRPr="00920732">
        <w:rPr>
          <w:i/>
          <w:color w:val="auto"/>
          <w:vertAlign w:val="superscript"/>
        </w:rPr>
        <w:t>2</w:t>
      </w:r>
      <w:r w:rsidRPr="00920732">
        <w:rPr>
          <w:color w:val="auto"/>
        </w:rPr>
        <w:t xml:space="preserve"> / </w:t>
      </w:r>
      <w:proofErr w:type="spellStart"/>
      <w:r w:rsidRPr="00920732">
        <w:rPr>
          <w:color w:val="auto"/>
        </w:rPr>
        <w:t>n</w:t>
      </w:r>
      <w:r w:rsidRPr="00920732">
        <w:rPr>
          <w:color w:val="auto"/>
          <w:vertAlign w:val="subscript"/>
        </w:rPr>
        <w:t>i</w:t>
      </w:r>
      <w:proofErr w:type="spellEnd"/>
      <w:r w:rsidRPr="00920732">
        <w:rPr>
          <w:i/>
          <w:color w:val="auto"/>
        </w:rPr>
        <w:t xml:space="preserve">) - 3(19+1) </w:t>
      </w:r>
    </w:p>
    <w:p w:rsidR="00920732" w:rsidRPr="00920732" w:rsidRDefault="00920732" w:rsidP="00920732">
      <w:pPr>
        <w:ind w:left="1080"/>
        <w:contextualSpacing/>
        <w:rPr>
          <w:color w:val="auto"/>
        </w:rPr>
      </w:pPr>
      <w:r w:rsidRPr="00920732">
        <w:rPr>
          <w:i/>
          <w:color w:val="auto"/>
        </w:rPr>
        <w:t>= 0.032 (88</w:t>
      </w:r>
      <w:r w:rsidRPr="00920732">
        <w:rPr>
          <w:i/>
          <w:color w:val="auto"/>
          <w:vertAlign w:val="superscript"/>
        </w:rPr>
        <w:t>2</w:t>
      </w:r>
      <w:r w:rsidRPr="00920732">
        <w:rPr>
          <w:i/>
          <w:color w:val="auto"/>
        </w:rPr>
        <w:t>/5 + 32</w:t>
      </w:r>
      <w:r w:rsidRPr="00920732">
        <w:rPr>
          <w:i/>
          <w:color w:val="auto"/>
          <w:vertAlign w:val="superscript"/>
        </w:rPr>
        <w:t>2</w:t>
      </w:r>
      <w:r w:rsidRPr="00920732">
        <w:rPr>
          <w:i/>
          <w:color w:val="auto"/>
        </w:rPr>
        <w:t>/5 + 70</w:t>
      </w:r>
      <w:r w:rsidRPr="00920732">
        <w:rPr>
          <w:i/>
          <w:color w:val="auto"/>
          <w:vertAlign w:val="superscript"/>
        </w:rPr>
        <w:t>2</w:t>
      </w:r>
      <w:r w:rsidRPr="00920732">
        <w:rPr>
          <w:i/>
          <w:color w:val="auto"/>
        </w:rPr>
        <w:t>/5) - 60</w:t>
      </w:r>
    </w:p>
    <w:p w:rsidR="00920732" w:rsidRPr="00920732" w:rsidRDefault="00920732" w:rsidP="00920732">
      <w:pPr>
        <w:ind w:left="1080"/>
        <w:contextualSpacing/>
        <w:rPr>
          <w:i/>
          <w:color w:val="auto"/>
        </w:rPr>
      </w:pPr>
      <w:r w:rsidRPr="00920732">
        <w:rPr>
          <w:i/>
          <w:color w:val="auto"/>
        </w:rPr>
        <w:t>= 2.83</w:t>
      </w:r>
    </w:p>
    <w:p w:rsidR="00920732" w:rsidRPr="00920732" w:rsidRDefault="00920732" w:rsidP="00920732">
      <w:pPr>
        <w:ind w:left="1080"/>
        <w:contextualSpacing/>
        <w:rPr>
          <w:color w:val="auto"/>
        </w:rPr>
      </w:pPr>
    </w:p>
    <w:p w:rsidR="00920732" w:rsidRPr="00920732" w:rsidRDefault="00920732" w:rsidP="00920732">
      <w:pPr>
        <w:ind w:left="1080"/>
        <w:contextualSpacing/>
        <w:rPr>
          <w:color w:val="auto"/>
        </w:rPr>
      </w:pPr>
      <w:r w:rsidRPr="00920732">
        <w:rPr>
          <w:i/>
          <w:color w:val="auto"/>
        </w:rPr>
        <w:t>Comparing H with the chi-squared</w:t>
      </w:r>
      <w:r w:rsidRPr="00920732">
        <w:rPr>
          <w:i/>
          <w:color w:val="auto"/>
          <w:vertAlign w:val="subscript"/>
        </w:rPr>
        <w:t>2</w:t>
      </w:r>
      <w:r w:rsidRPr="00920732">
        <w:rPr>
          <w:i/>
          <w:color w:val="auto"/>
        </w:rPr>
        <w:t xml:space="preserve"> = 5.991, so that we fail to reject the null hypothesis.  Both tests indicate that the divisions likely have similar absentee values. </w:t>
      </w:r>
    </w:p>
    <w:p w:rsidR="00920732" w:rsidRPr="00920732" w:rsidRDefault="00920732" w:rsidP="00920732">
      <w:pPr>
        <w:rPr>
          <w:color w:val="auto"/>
        </w:rPr>
      </w:pPr>
    </w:p>
    <w:p w:rsidR="00920732" w:rsidRPr="00920732" w:rsidRDefault="00920732" w:rsidP="00920732">
      <w:pPr>
        <w:numPr>
          <w:ilvl w:val="0"/>
          <w:numId w:val="1"/>
        </w:numPr>
        <w:ind w:left="360" w:hanging="360"/>
        <w:contextualSpacing/>
        <w:rPr>
          <w:color w:val="auto"/>
        </w:rPr>
      </w:pPr>
    </w:p>
    <w:tbl>
      <w:tblPr>
        <w:tblW w:w="87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800"/>
        <w:gridCol w:w="1800"/>
        <w:gridCol w:w="1800"/>
      </w:tblGrid>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rPr>
                <w:color w:val="auto"/>
              </w:rPr>
            </w:pP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Sums of squares</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Degrees of freedom</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Mean square</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i/>
                <w:color w:val="auto"/>
              </w:rPr>
            </w:pPr>
            <w:r w:rsidRPr="00920732">
              <w:rPr>
                <w:i/>
                <w:color w:val="auto"/>
              </w:rPr>
              <w:t>F</w:t>
            </w: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Between</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1070.025</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3</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b/>
                <w:i/>
                <w:color w:val="auto"/>
              </w:rPr>
              <w:t>356.675</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30.413</w:t>
            </w: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rPr>
                <w:color w:val="auto"/>
              </w:rPr>
            </w:pPr>
            <w:r w:rsidRPr="00920732">
              <w:rPr>
                <w:color w:val="auto"/>
              </w:rPr>
              <w:t>Within</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b/>
                <w:i/>
                <w:color w:val="auto"/>
              </w:rPr>
              <w:t>703.655</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60</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11.728</w:t>
            </w:r>
          </w:p>
        </w:tc>
        <w:tc>
          <w:tcPr>
            <w:tcW w:w="1800" w:type="dxa"/>
            <w:tcMar>
              <w:top w:w="100" w:type="dxa"/>
              <w:left w:w="100" w:type="dxa"/>
              <w:bottom w:w="100" w:type="dxa"/>
              <w:right w:w="100" w:type="dxa"/>
            </w:tcMar>
          </w:tcPr>
          <w:p w:rsidR="00920732" w:rsidRPr="00920732" w:rsidRDefault="00920732" w:rsidP="00B252BB">
            <w:pPr>
              <w:spacing w:line="240" w:lineRule="auto"/>
              <w:rPr>
                <w:color w:val="auto"/>
              </w:rPr>
            </w:pP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rPr>
                <w:color w:val="auto"/>
              </w:rPr>
            </w:pPr>
            <w:r w:rsidRPr="00920732">
              <w:rPr>
                <w:color w:val="auto"/>
              </w:rPr>
              <w:t>Total</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1773.680</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r w:rsidRPr="00920732">
              <w:rPr>
                <w:color w:val="auto"/>
              </w:rPr>
              <w:t>63</w:t>
            </w:r>
          </w:p>
        </w:tc>
        <w:tc>
          <w:tcPr>
            <w:tcW w:w="1800" w:type="dxa"/>
            <w:tcMar>
              <w:top w:w="100" w:type="dxa"/>
              <w:left w:w="100" w:type="dxa"/>
              <w:bottom w:w="100" w:type="dxa"/>
              <w:right w:w="100" w:type="dxa"/>
            </w:tcMar>
          </w:tcPr>
          <w:p w:rsidR="00920732" w:rsidRPr="00920732" w:rsidRDefault="00920732" w:rsidP="00B252BB">
            <w:pPr>
              <w:spacing w:line="240" w:lineRule="auto"/>
              <w:jc w:val="center"/>
              <w:rPr>
                <w:color w:val="auto"/>
              </w:rPr>
            </w:pPr>
          </w:p>
        </w:tc>
        <w:tc>
          <w:tcPr>
            <w:tcW w:w="1800" w:type="dxa"/>
            <w:tcMar>
              <w:top w:w="100" w:type="dxa"/>
              <w:left w:w="100" w:type="dxa"/>
              <w:bottom w:w="100" w:type="dxa"/>
              <w:right w:w="100" w:type="dxa"/>
            </w:tcMar>
          </w:tcPr>
          <w:p w:rsidR="00920732" w:rsidRPr="00920732" w:rsidRDefault="00920732" w:rsidP="00B252BB">
            <w:pPr>
              <w:spacing w:line="240" w:lineRule="auto"/>
              <w:rPr>
                <w:color w:val="auto"/>
              </w:rPr>
            </w:pPr>
          </w:p>
        </w:tc>
      </w:tr>
    </w:tbl>
    <w:p w:rsidR="00920732" w:rsidRPr="00920732" w:rsidRDefault="00920732" w:rsidP="00920732">
      <w:pPr>
        <w:rPr>
          <w:color w:val="auto"/>
        </w:rPr>
      </w:pPr>
    </w:p>
    <w:p w:rsidR="00920732" w:rsidRPr="00920732" w:rsidRDefault="00920732" w:rsidP="00920732">
      <w:pPr>
        <w:ind w:left="360"/>
        <w:rPr>
          <w:color w:val="auto"/>
        </w:rPr>
      </w:pPr>
      <w:r w:rsidRPr="00920732">
        <w:rPr>
          <w:color w:val="auto"/>
        </w:rPr>
        <w:t xml:space="preserve">If </w:t>
      </w:r>
      <w:r w:rsidRPr="00920732">
        <w:rPr>
          <w:rFonts w:ascii="Cambria Math" w:hAnsi="Cambria Math" w:cs="Cambria Math"/>
          <w:color w:val="auto"/>
        </w:rPr>
        <w:t>𝛂</w:t>
      </w:r>
      <w:r w:rsidRPr="00920732">
        <w:rPr>
          <w:color w:val="auto"/>
        </w:rPr>
        <w:t xml:space="preserve"> = .05, the critical value is F</w:t>
      </w:r>
      <w:r w:rsidRPr="00920732">
        <w:rPr>
          <w:color w:val="auto"/>
          <w:vertAlign w:val="subscript"/>
        </w:rPr>
        <w:t>.05</w:t>
      </w:r>
      <w:proofErr w:type="gramStart"/>
      <w:r w:rsidRPr="00920732">
        <w:rPr>
          <w:color w:val="auto"/>
          <w:vertAlign w:val="subscript"/>
        </w:rPr>
        <w:t>,3,60</w:t>
      </w:r>
      <w:proofErr w:type="gramEnd"/>
      <w:r w:rsidRPr="00920732">
        <w:rPr>
          <w:color w:val="auto"/>
        </w:rPr>
        <w:t xml:space="preserve"> = 8.57. The null hypothesis of no difference is therefore rejected.</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rPr>
          <w:color w:val="auto"/>
        </w:rPr>
      </w:pPr>
    </w:p>
    <w:tbl>
      <w:tblPr>
        <w:tblW w:w="87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800"/>
        <w:gridCol w:w="1800"/>
        <w:gridCol w:w="1800"/>
      </w:tblGrid>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ind w:left="360"/>
              <w:rPr>
                <w:color w:val="auto"/>
              </w:rPr>
            </w:pPr>
          </w:p>
        </w:tc>
        <w:tc>
          <w:tcPr>
            <w:tcW w:w="1800" w:type="dxa"/>
            <w:tcMar>
              <w:top w:w="100" w:type="dxa"/>
              <w:left w:w="100" w:type="dxa"/>
              <w:bottom w:w="100" w:type="dxa"/>
              <w:right w:w="100" w:type="dxa"/>
            </w:tcMar>
          </w:tcPr>
          <w:p w:rsidR="00920732" w:rsidRPr="00920732" w:rsidRDefault="00920732" w:rsidP="00B252BB">
            <w:pPr>
              <w:spacing w:line="240" w:lineRule="auto"/>
              <w:ind w:left="-104" w:hanging="14"/>
              <w:jc w:val="center"/>
              <w:rPr>
                <w:color w:val="auto"/>
              </w:rPr>
            </w:pPr>
            <w:r w:rsidRPr="00920732">
              <w:rPr>
                <w:color w:val="auto"/>
              </w:rPr>
              <w:t>Sums of squares</w:t>
            </w:r>
          </w:p>
        </w:tc>
        <w:tc>
          <w:tcPr>
            <w:tcW w:w="1800" w:type="dxa"/>
            <w:tcMar>
              <w:top w:w="100" w:type="dxa"/>
              <w:left w:w="100" w:type="dxa"/>
              <w:bottom w:w="100" w:type="dxa"/>
              <w:right w:w="100" w:type="dxa"/>
            </w:tcMar>
          </w:tcPr>
          <w:p w:rsidR="00920732" w:rsidRPr="00920732" w:rsidRDefault="00920732" w:rsidP="00B252BB">
            <w:pPr>
              <w:spacing w:line="240" w:lineRule="auto"/>
              <w:ind w:left="-104" w:hanging="14"/>
              <w:jc w:val="center"/>
              <w:rPr>
                <w:color w:val="auto"/>
              </w:rPr>
            </w:pPr>
            <w:r w:rsidRPr="00920732">
              <w:rPr>
                <w:color w:val="auto"/>
              </w:rPr>
              <w:t>Degrees of freedom</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Mean square</w:t>
            </w:r>
          </w:p>
        </w:tc>
        <w:tc>
          <w:tcPr>
            <w:tcW w:w="1800" w:type="dxa"/>
            <w:tcMar>
              <w:top w:w="100" w:type="dxa"/>
              <w:left w:w="100" w:type="dxa"/>
              <w:bottom w:w="100" w:type="dxa"/>
              <w:right w:w="100" w:type="dxa"/>
            </w:tcMar>
          </w:tcPr>
          <w:p w:rsidR="00920732" w:rsidRPr="00920732" w:rsidRDefault="00920732" w:rsidP="00B252BB">
            <w:pPr>
              <w:spacing w:line="240" w:lineRule="auto"/>
              <w:ind w:left="360"/>
              <w:rPr>
                <w:i/>
                <w:color w:val="auto"/>
              </w:rPr>
            </w:pPr>
            <w:r w:rsidRPr="00920732">
              <w:rPr>
                <w:i/>
                <w:color w:val="auto"/>
              </w:rPr>
              <w:t xml:space="preserve">    F</w:t>
            </w: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ind w:left="360"/>
              <w:rPr>
                <w:color w:val="auto"/>
              </w:rPr>
            </w:pPr>
            <w:r w:rsidRPr="00920732">
              <w:rPr>
                <w:color w:val="auto"/>
              </w:rPr>
              <w:t>Between</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b/>
                <w:color w:val="auto"/>
              </w:rPr>
              <w:t>78.5</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b/>
                <w:color w:val="auto"/>
              </w:rPr>
              <w:t>6</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13.1</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3.1</w:t>
            </w: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ind w:left="360"/>
              <w:rPr>
                <w:color w:val="auto"/>
              </w:rPr>
            </w:pPr>
            <w:r w:rsidRPr="00920732">
              <w:rPr>
                <w:color w:val="auto"/>
              </w:rPr>
              <w:t>Within</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168.2</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40</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color w:val="auto"/>
              </w:rPr>
              <w:t>4.2</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p>
        </w:tc>
      </w:tr>
      <w:tr w:rsidR="00920732" w:rsidRPr="00920732" w:rsidTr="00B252BB">
        <w:tc>
          <w:tcPr>
            <w:tcW w:w="1545" w:type="dxa"/>
            <w:tcMar>
              <w:top w:w="100" w:type="dxa"/>
              <w:left w:w="100" w:type="dxa"/>
              <w:bottom w:w="100" w:type="dxa"/>
              <w:right w:w="100" w:type="dxa"/>
            </w:tcMar>
          </w:tcPr>
          <w:p w:rsidR="00920732" w:rsidRPr="00920732" w:rsidRDefault="00920732" w:rsidP="00B252BB">
            <w:pPr>
              <w:spacing w:line="240" w:lineRule="auto"/>
              <w:ind w:left="360"/>
              <w:rPr>
                <w:color w:val="auto"/>
              </w:rPr>
            </w:pPr>
            <w:r w:rsidRPr="00920732">
              <w:rPr>
                <w:color w:val="auto"/>
              </w:rPr>
              <w:t>Total</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b/>
                <w:color w:val="auto"/>
              </w:rPr>
              <w:t>246.7</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r w:rsidRPr="00920732">
              <w:rPr>
                <w:b/>
                <w:color w:val="auto"/>
              </w:rPr>
              <w:t>46</w:t>
            </w: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p>
        </w:tc>
        <w:tc>
          <w:tcPr>
            <w:tcW w:w="1800" w:type="dxa"/>
            <w:tcMar>
              <w:top w:w="100" w:type="dxa"/>
              <w:left w:w="100" w:type="dxa"/>
              <w:bottom w:w="100" w:type="dxa"/>
              <w:right w:w="100" w:type="dxa"/>
            </w:tcMar>
          </w:tcPr>
          <w:p w:rsidR="00920732" w:rsidRPr="00920732" w:rsidRDefault="00920732" w:rsidP="00B252BB">
            <w:pPr>
              <w:spacing w:line="240" w:lineRule="auto"/>
              <w:ind w:left="360"/>
              <w:jc w:val="center"/>
              <w:rPr>
                <w:color w:val="auto"/>
              </w:rPr>
            </w:pPr>
          </w:p>
        </w:tc>
      </w:tr>
    </w:tbl>
    <w:p w:rsidR="00920732" w:rsidRPr="00920732" w:rsidRDefault="00920732" w:rsidP="00920732">
      <w:pPr>
        <w:rPr>
          <w:color w:val="auto"/>
        </w:rPr>
      </w:pPr>
    </w:p>
    <w:p w:rsidR="00920732" w:rsidRPr="00920732" w:rsidRDefault="00920732" w:rsidP="00920732">
      <w:pPr>
        <w:ind w:left="360"/>
        <w:rPr>
          <w:color w:val="auto"/>
        </w:rPr>
      </w:pPr>
      <w:r w:rsidRPr="00920732">
        <w:rPr>
          <w:color w:val="auto"/>
        </w:rPr>
        <w:t xml:space="preserve">If </w:t>
      </w:r>
      <w:r w:rsidRPr="00920732">
        <w:rPr>
          <w:rFonts w:ascii="Cambria Math" w:hAnsi="Cambria Math" w:cs="Cambria Math"/>
          <w:color w:val="auto"/>
        </w:rPr>
        <w:t>𝛂</w:t>
      </w:r>
      <w:r w:rsidRPr="00920732">
        <w:rPr>
          <w:color w:val="auto"/>
        </w:rPr>
        <w:t xml:space="preserve"> = .05, the critical value is F</w:t>
      </w:r>
      <w:r w:rsidRPr="00920732">
        <w:rPr>
          <w:color w:val="auto"/>
          <w:vertAlign w:val="subscript"/>
        </w:rPr>
        <w:t>.05</w:t>
      </w:r>
      <w:proofErr w:type="gramStart"/>
      <w:r w:rsidRPr="00920732">
        <w:rPr>
          <w:color w:val="auto"/>
          <w:vertAlign w:val="subscript"/>
        </w:rPr>
        <w:t>,6,40</w:t>
      </w:r>
      <w:proofErr w:type="gramEnd"/>
      <w:r w:rsidRPr="00920732">
        <w:rPr>
          <w:color w:val="auto"/>
        </w:rPr>
        <w:t xml:space="preserve"> = 3.77. We therefore fail to reject the null hypothesis of no difference.</w:t>
      </w:r>
    </w:p>
    <w:p w:rsidR="00920732" w:rsidRPr="00920732" w:rsidRDefault="00920732" w:rsidP="00920732">
      <w:pPr>
        <w:ind w:left="360"/>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numPr>
          <w:ilvl w:val="1"/>
          <w:numId w:val="1"/>
        </w:numPr>
        <w:ind w:left="810" w:hanging="359"/>
        <w:contextualSpacing/>
        <w:rPr>
          <w:color w:val="auto"/>
        </w:rPr>
      </w:pPr>
      <w:r w:rsidRPr="00920732">
        <w:rPr>
          <w:color w:val="auto"/>
        </w:rPr>
        <w:t>WSS = 398.7</w:t>
      </w:r>
    </w:p>
    <w:p w:rsidR="00920732" w:rsidRPr="00920732" w:rsidRDefault="00920732" w:rsidP="00920732">
      <w:pPr>
        <w:numPr>
          <w:ilvl w:val="1"/>
          <w:numId w:val="1"/>
        </w:numPr>
        <w:ind w:left="810" w:hanging="359"/>
        <w:contextualSpacing/>
        <w:rPr>
          <w:color w:val="auto"/>
        </w:rPr>
      </w:pPr>
      <w:r w:rsidRPr="00920732">
        <w:rPr>
          <w:color w:val="auto"/>
        </w:rPr>
        <w:t>F = 0.702, while F</w:t>
      </w:r>
      <w:r w:rsidRPr="00920732">
        <w:rPr>
          <w:color w:val="auto"/>
          <w:vertAlign w:val="subscript"/>
        </w:rPr>
        <w:t>.05</w:t>
      </w:r>
      <w:proofErr w:type="gramStart"/>
      <w:r w:rsidRPr="00920732">
        <w:rPr>
          <w:color w:val="auto"/>
          <w:vertAlign w:val="subscript"/>
        </w:rPr>
        <w:t>,2,15</w:t>
      </w:r>
      <w:proofErr w:type="gramEnd"/>
      <w:r w:rsidRPr="00920732">
        <w:rPr>
          <w:color w:val="auto"/>
        </w:rPr>
        <w:t>= 3.68, so that we fail to reject the null hypothesis.</w:t>
      </w:r>
    </w:p>
    <w:p w:rsidR="00920732" w:rsidRPr="00920732" w:rsidRDefault="00920732" w:rsidP="00920732">
      <w:pPr>
        <w:numPr>
          <w:ilvl w:val="1"/>
          <w:numId w:val="1"/>
        </w:numPr>
        <w:ind w:left="810" w:hanging="359"/>
        <w:contextualSpacing/>
        <w:rPr>
          <w:color w:val="auto"/>
        </w:rPr>
      </w:pPr>
      <w:r w:rsidRPr="00920732">
        <w:rPr>
          <w:color w:val="auto"/>
        </w:rPr>
        <w:t>The adjusted value of H is 1.213, where the chi-squared value is 5.991. Thus we also fail to reject the null hypothesis, as we did in part (b)</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rPr>
          <w:color w:val="auto"/>
        </w:rPr>
      </w:pPr>
    </w:p>
    <w:tbl>
      <w:tblPr>
        <w:tblW w:w="886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340"/>
        <w:gridCol w:w="2340"/>
        <w:gridCol w:w="2340"/>
      </w:tblGrid>
      <w:tr w:rsidR="00920732" w:rsidRPr="00920732" w:rsidTr="00B252BB">
        <w:tc>
          <w:tcPr>
            <w:tcW w:w="1845" w:type="dxa"/>
            <w:tcMar>
              <w:top w:w="100" w:type="dxa"/>
              <w:left w:w="100" w:type="dxa"/>
              <w:bottom w:w="100" w:type="dxa"/>
              <w:right w:w="100" w:type="dxa"/>
            </w:tcMar>
          </w:tcPr>
          <w:p w:rsidR="00920732" w:rsidRPr="00920732" w:rsidRDefault="00920732" w:rsidP="00B252BB">
            <w:pPr>
              <w:widowControl w:val="0"/>
              <w:spacing w:line="240" w:lineRule="auto"/>
              <w:rPr>
                <w:color w:val="auto"/>
              </w:rPr>
            </w:pP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b/>
                <w:color w:val="auto"/>
              </w:rPr>
              <w:t>Deposit A</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b/>
                <w:color w:val="auto"/>
              </w:rPr>
              <w:t>Deposit B</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b/>
                <w:color w:val="auto"/>
              </w:rPr>
              <w:t>Deposit C</w:t>
            </w:r>
          </w:p>
        </w:tc>
      </w:tr>
      <w:tr w:rsidR="00920732" w:rsidRPr="00920732" w:rsidTr="00B252BB">
        <w:tc>
          <w:tcPr>
            <w:tcW w:w="1845" w:type="dxa"/>
            <w:tcMar>
              <w:top w:w="100" w:type="dxa"/>
              <w:left w:w="100" w:type="dxa"/>
              <w:bottom w:w="100" w:type="dxa"/>
              <w:right w:w="100" w:type="dxa"/>
            </w:tcMar>
          </w:tcPr>
          <w:p w:rsidR="00920732" w:rsidRPr="00920732" w:rsidRDefault="00920732" w:rsidP="00B252BB">
            <w:pPr>
              <w:widowControl w:val="0"/>
              <w:spacing w:line="240" w:lineRule="auto"/>
              <w:rPr>
                <w:color w:val="auto"/>
              </w:rPr>
            </w:pPr>
            <w:r w:rsidRPr="00920732">
              <w:rPr>
                <w:b/>
                <w:i/>
                <w:color w:val="auto"/>
              </w:rPr>
              <w:t>n</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14</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14</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14</w:t>
            </w:r>
          </w:p>
        </w:tc>
      </w:tr>
      <w:tr w:rsidR="00920732" w:rsidRPr="00920732" w:rsidTr="00B252BB">
        <w:tc>
          <w:tcPr>
            <w:tcW w:w="1845" w:type="dxa"/>
            <w:tcMar>
              <w:top w:w="100" w:type="dxa"/>
              <w:left w:w="100" w:type="dxa"/>
              <w:bottom w:w="100" w:type="dxa"/>
              <w:right w:w="100" w:type="dxa"/>
            </w:tcMar>
          </w:tcPr>
          <w:p w:rsidR="00920732" w:rsidRPr="00920732" w:rsidRDefault="00920732" w:rsidP="00B252BB">
            <w:pPr>
              <w:widowControl w:val="0"/>
              <w:spacing w:line="240" w:lineRule="auto"/>
              <w:rPr>
                <w:color w:val="auto"/>
              </w:rPr>
            </w:pPr>
            <w:r w:rsidRPr="00920732">
              <w:rPr>
                <w:b/>
                <w:i/>
                <w:color w:val="auto"/>
              </w:rPr>
              <w:t>Mean</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9.8</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15.0</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17.0</w:t>
            </w:r>
          </w:p>
        </w:tc>
      </w:tr>
      <w:tr w:rsidR="00920732" w:rsidRPr="00920732" w:rsidTr="00B252BB">
        <w:tc>
          <w:tcPr>
            <w:tcW w:w="1845" w:type="dxa"/>
            <w:tcMar>
              <w:top w:w="100" w:type="dxa"/>
              <w:left w:w="100" w:type="dxa"/>
              <w:bottom w:w="100" w:type="dxa"/>
              <w:right w:w="100" w:type="dxa"/>
            </w:tcMar>
          </w:tcPr>
          <w:p w:rsidR="00920732" w:rsidRPr="00920732" w:rsidRDefault="00920732" w:rsidP="00B252BB">
            <w:pPr>
              <w:widowControl w:val="0"/>
              <w:spacing w:line="240" w:lineRule="auto"/>
              <w:rPr>
                <w:color w:val="auto"/>
              </w:rPr>
            </w:pPr>
            <w:proofErr w:type="spellStart"/>
            <w:r w:rsidRPr="00920732">
              <w:rPr>
                <w:b/>
                <w:i/>
                <w:color w:val="auto"/>
              </w:rPr>
              <w:t>Std</w:t>
            </w:r>
            <w:proofErr w:type="spellEnd"/>
            <w:r w:rsidRPr="00920732">
              <w:rPr>
                <w:b/>
                <w:i/>
                <w:color w:val="auto"/>
              </w:rPr>
              <w:t xml:space="preserve"> Dev</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2.0</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6.5</w:t>
            </w:r>
          </w:p>
        </w:tc>
        <w:tc>
          <w:tcPr>
            <w:tcW w:w="2340" w:type="dxa"/>
            <w:tcMar>
              <w:top w:w="100" w:type="dxa"/>
              <w:left w:w="100" w:type="dxa"/>
              <w:bottom w:w="100" w:type="dxa"/>
              <w:right w:w="100" w:type="dxa"/>
            </w:tcMar>
          </w:tcPr>
          <w:p w:rsidR="00920732" w:rsidRPr="00920732" w:rsidRDefault="00920732" w:rsidP="00B252BB">
            <w:pPr>
              <w:widowControl w:val="0"/>
              <w:spacing w:line="240" w:lineRule="auto"/>
              <w:jc w:val="center"/>
              <w:rPr>
                <w:color w:val="auto"/>
              </w:rPr>
            </w:pPr>
            <w:r w:rsidRPr="00920732">
              <w:rPr>
                <w:color w:val="auto"/>
              </w:rPr>
              <w:t>1.9</w:t>
            </w:r>
          </w:p>
        </w:tc>
      </w:tr>
    </w:tbl>
    <w:p w:rsidR="00920732" w:rsidRPr="00920732" w:rsidRDefault="00920732" w:rsidP="00920732">
      <w:pPr>
        <w:ind w:firstLine="450"/>
        <w:rPr>
          <w:color w:val="auto"/>
        </w:rPr>
      </w:pPr>
    </w:p>
    <w:p w:rsidR="00920732" w:rsidRPr="00920732" w:rsidRDefault="00920732" w:rsidP="00920732">
      <w:pPr>
        <w:ind w:left="450"/>
        <w:rPr>
          <w:color w:val="auto"/>
        </w:rPr>
      </w:pPr>
      <w:r w:rsidRPr="00920732">
        <w:rPr>
          <w:color w:val="auto"/>
        </w:rPr>
        <w:t>From this, BSS = 416.2 and WSS = 698.2, so that F = (416.2 / 2) / (698.2 / 39) = 11.6, which is less than the F</w:t>
      </w:r>
      <w:r w:rsidRPr="00920732">
        <w:rPr>
          <w:color w:val="auto"/>
          <w:vertAlign w:val="subscript"/>
        </w:rPr>
        <w:t>.05</w:t>
      </w:r>
      <w:proofErr w:type="gramStart"/>
      <w:r w:rsidRPr="00920732">
        <w:rPr>
          <w:color w:val="auto"/>
          <w:vertAlign w:val="subscript"/>
        </w:rPr>
        <w:t>,2,15</w:t>
      </w:r>
      <w:proofErr w:type="gramEnd"/>
      <w:r w:rsidRPr="00920732">
        <w:rPr>
          <w:color w:val="auto"/>
        </w:rPr>
        <w:t xml:space="preserve"> value of approximately 3.68. Thus, we reject the null hypothesis and conclude that there are differences in the means.</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r w:rsidRPr="00920732">
        <w:rPr>
          <w:color w:val="auto"/>
        </w:rPr>
        <w:t>BSS = 171.4, WSS = 1004.6, so that F = (171.4 / 2) / (1004.6 / 34) = 2.900, which is greater than the critical value F</w:t>
      </w:r>
      <w:r w:rsidRPr="00920732">
        <w:rPr>
          <w:color w:val="auto"/>
          <w:vertAlign w:val="subscript"/>
        </w:rPr>
        <w:t>.10</w:t>
      </w:r>
      <w:proofErr w:type="gramStart"/>
      <w:r w:rsidRPr="00920732">
        <w:rPr>
          <w:color w:val="auto"/>
          <w:vertAlign w:val="subscript"/>
        </w:rPr>
        <w:t>,2,34</w:t>
      </w:r>
      <w:proofErr w:type="gramEnd"/>
      <w:r w:rsidRPr="00920732">
        <w:rPr>
          <w:color w:val="auto"/>
        </w:rPr>
        <w:t xml:space="preserve"> of approximately 2.86. Thus we reject the null hypothesis and conclude that there are differences in the means.</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numPr>
          <w:ilvl w:val="1"/>
          <w:numId w:val="1"/>
        </w:numPr>
        <w:ind w:left="630" w:hanging="359"/>
        <w:contextualSpacing/>
        <w:rPr>
          <w:color w:val="auto"/>
        </w:rPr>
      </w:pPr>
      <w:r w:rsidRPr="00920732">
        <w:rPr>
          <w:color w:val="auto"/>
        </w:rPr>
        <w:t>Group 1 has a significant contrast with Group 2, as does Group 3, at significance levels of .022 and .007 respectively. Groups 1 and 3 do not have significant contrasts.</w:t>
      </w:r>
    </w:p>
    <w:p w:rsidR="00920732" w:rsidRPr="00920732" w:rsidRDefault="00920732" w:rsidP="00920732">
      <w:pPr>
        <w:numPr>
          <w:ilvl w:val="1"/>
          <w:numId w:val="1"/>
        </w:numPr>
        <w:ind w:left="630" w:hanging="359"/>
        <w:contextualSpacing/>
        <w:rPr>
          <w:color w:val="auto"/>
        </w:rPr>
      </w:pPr>
      <w:r w:rsidRPr="00920732">
        <w:rPr>
          <w:color w:val="auto"/>
        </w:rPr>
        <w:t xml:space="preserve">As we can assume equal variances based on the </w:t>
      </w:r>
      <w:proofErr w:type="spellStart"/>
      <w:r w:rsidRPr="00920732">
        <w:rPr>
          <w:color w:val="auto"/>
        </w:rPr>
        <w:t>Levene</w:t>
      </w:r>
      <w:proofErr w:type="spellEnd"/>
      <w:r w:rsidRPr="00920732">
        <w:rPr>
          <w:color w:val="auto"/>
        </w:rPr>
        <w:t xml:space="preserve"> test, we find statistically significant contrasts of 17 between A and B (p-value = .006) and -20 between B and C </w:t>
      </w:r>
    </w:p>
    <w:p w:rsidR="00920732" w:rsidRPr="00920732" w:rsidRDefault="00920732" w:rsidP="00920732">
      <w:pPr>
        <w:ind w:left="630"/>
        <w:contextualSpacing/>
        <w:rPr>
          <w:color w:val="auto"/>
        </w:rPr>
      </w:pPr>
      <w:r w:rsidRPr="00920732">
        <w:rPr>
          <w:color w:val="auto"/>
        </w:rPr>
        <w:t>(</w:t>
      </w:r>
      <w:proofErr w:type="gramStart"/>
      <w:r w:rsidRPr="00920732">
        <w:rPr>
          <w:i/>
          <w:color w:val="auto"/>
        </w:rPr>
        <w:t>p</w:t>
      </w:r>
      <w:r w:rsidRPr="00920732">
        <w:rPr>
          <w:color w:val="auto"/>
        </w:rPr>
        <w:t>-value</w:t>
      </w:r>
      <w:proofErr w:type="gramEnd"/>
      <w:r w:rsidRPr="00920732">
        <w:rPr>
          <w:color w:val="auto"/>
        </w:rPr>
        <w:t xml:space="preserve"> = .002). The contrast between A and C is 3, with </w:t>
      </w:r>
      <w:r w:rsidRPr="00920732">
        <w:rPr>
          <w:i/>
          <w:color w:val="auto"/>
        </w:rPr>
        <w:t>p</w:t>
      </w:r>
      <w:r w:rsidRPr="00920732">
        <w:rPr>
          <w:color w:val="auto"/>
        </w:rPr>
        <w:t>-value = .601, which is not significant.</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proofErr w:type="spellStart"/>
      <w:r w:rsidRPr="00920732">
        <w:rPr>
          <w:color w:val="auto"/>
        </w:rPr>
        <w:t>Levene’s</w:t>
      </w:r>
      <w:proofErr w:type="spellEnd"/>
      <w:r w:rsidRPr="00920732">
        <w:rPr>
          <w:color w:val="auto"/>
        </w:rPr>
        <w:t xml:space="preserve"> test returns a statistic (10.7) with fairly extreme significance, supporting the null hypothesis that the variances of the different numbers of bedrooms could be equal. The </w:t>
      </w:r>
    </w:p>
    <w:p w:rsidR="00920732" w:rsidRPr="00920732" w:rsidRDefault="00920732" w:rsidP="00920732">
      <w:pPr>
        <w:ind w:left="360"/>
        <w:contextualSpacing/>
        <w:rPr>
          <w:color w:val="auto"/>
        </w:rPr>
      </w:pPr>
      <w:r w:rsidRPr="00920732">
        <w:rPr>
          <w:i/>
          <w:color w:val="auto"/>
        </w:rPr>
        <w:t>F</w:t>
      </w:r>
      <w:r w:rsidRPr="00920732">
        <w:rPr>
          <w:color w:val="auto"/>
        </w:rPr>
        <w:t>-statistic of 64.455 is high as well, suggesting that we should reject the null hypothesis that the average floor areas for different numbers of bedroom are equal.</w:t>
      </w:r>
    </w:p>
    <w:p w:rsidR="00920732" w:rsidRPr="00920732" w:rsidRDefault="00920732" w:rsidP="00920732">
      <w:pPr>
        <w:rPr>
          <w:color w:val="auto"/>
        </w:rPr>
      </w:pPr>
    </w:p>
    <w:p w:rsidR="00920732" w:rsidRPr="00920732" w:rsidRDefault="00920732" w:rsidP="00920732">
      <w:pPr>
        <w:numPr>
          <w:ilvl w:val="0"/>
          <w:numId w:val="1"/>
        </w:numPr>
        <w:ind w:left="360" w:hanging="359"/>
        <w:contextualSpacing/>
        <w:rPr>
          <w:color w:val="auto"/>
        </w:rPr>
      </w:pPr>
      <w:r w:rsidRPr="00920732">
        <w:rPr>
          <w:color w:val="auto"/>
        </w:rPr>
        <w:t xml:space="preserve">The ANOVA statistic returns values of 2.996 for English Speakers and 3.173 for the Unemployment Rate. Both values are significant at the 0.05 level. The post hoc test indicates that highest and lowest percent renter groups are different in English Speakers and Unemployment Rate.  The other groups appear to be the same.  However, the </w:t>
      </w:r>
      <w:proofErr w:type="spellStart"/>
      <w:r w:rsidRPr="00920732">
        <w:rPr>
          <w:color w:val="auto"/>
        </w:rPr>
        <w:t>Levene’s</w:t>
      </w:r>
      <w:proofErr w:type="spellEnd"/>
      <w:r w:rsidRPr="00920732">
        <w:rPr>
          <w:color w:val="auto"/>
        </w:rPr>
        <w:t xml:space="preserve"> test for English Speakers and Unemployment Rate return values of 3.719 and 4.932 respectively. Both values are significant at the 0.05 level indicating we likely fail to meet the assumption of equal variance.  We should therefore interpret our results with caution. </w:t>
      </w:r>
    </w:p>
    <w:p w:rsidR="00920732" w:rsidRPr="00920732" w:rsidRDefault="00920732" w:rsidP="00920732">
      <w:pPr>
        <w:ind w:left="720"/>
        <w:contextualSpacing/>
        <w:rPr>
          <w:color w:val="auto"/>
        </w:rPr>
      </w:pPr>
    </w:p>
    <w:p w:rsidR="00920732" w:rsidRPr="00920732" w:rsidRDefault="00920732" w:rsidP="00920732">
      <w:pPr>
        <w:numPr>
          <w:ilvl w:val="0"/>
          <w:numId w:val="1"/>
        </w:numPr>
        <w:ind w:left="360" w:hanging="359"/>
        <w:contextualSpacing/>
        <w:rPr>
          <w:color w:val="auto"/>
        </w:rPr>
      </w:pPr>
    </w:p>
    <w:p w:rsidR="00920732" w:rsidRPr="00920732" w:rsidRDefault="00920732" w:rsidP="00920732">
      <w:pPr>
        <w:numPr>
          <w:ilvl w:val="1"/>
          <w:numId w:val="1"/>
        </w:numPr>
        <w:ind w:left="820" w:hanging="359"/>
        <w:contextualSpacing/>
        <w:rPr>
          <w:color w:val="auto"/>
        </w:rPr>
      </w:pPr>
      <w:r w:rsidRPr="00920732">
        <w:rPr>
          <w:color w:val="auto"/>
        </w:rPr>
        <w:t>The mean does differ, at a statistically significant level. Giving Region 1 a coefficient of 1 and Region 3 a coefficient of -1, the value of the contrast is -20.82, with a</w:t>
      </w:r>
      <w:r w:rsidRPr="00920732">
        <w:rPr>
          <w:i/>
          <w:color w:val="auto"/>
        </w:rPr>
        <w:t xml:space="preserve"> p</w:t>
      </w:r>
      <w:r w:rsidRPr="00920732">
        <w:rPr>
          <w:color w:val="auto"/>
        </w:rPr>
        <w:t xml:space="preserve">-value less than .001. </w:t>
      </w:r>
    </w:p>
    <w:p w:rsidR="00920732" w:rsidRPr="00920732" w:rsidRDefault="00920732" w:rsidP="00920732">
      <w:pPr>
        <w:numPr>
          <w:ilvl w:val="1"/>
          <w:numId w:val="1"/>
        </w:numPr>
        <w:ind w:left="820" w:hanging="359"/>
        <w:contextualSpacing/>
        <w:rPr>
          <w:color w:val="auto"/>
        </w:rPr>
      </w:pPr>
    </w:p>
    <w:p w:rsidR="00920732" w:rsidRPr="00920732" w:rsidRDefault="00920732" w:rsidP="00920732">
      <w:pPr>
        <w:ind w:left="720"/>
        <w:rPr>
          <w:color w:val="auto"/>
        </w:rPr>
      </w:pPr>
      <w:r w:rsidRPr="00920732">
        <w:rPr>
          <w:color w:val="auto"/>
        </w:rPr>
        <w:t>Region 1: differs from Regions 2, 3, and 6</w:t>
      </w:r>
    </w:p>
    <w:p w:rsidR="00920732" w:rsidRPr="00920732" w:rsidRDefault="00920732" w:rsidP="00920732">
      <w:pPr>
        <w:ind w:left="720"/>
        <w:rPr>
          <w:color w:val="auto"/>
        </w:rPr>
      </w:pPr>
      <w:r w:rsidRPr="00920732">
        <w:rPr>
          <w:color w:val="auto"/>
        </w:rPr>
        <w:t>Region 2: differs from Region 1</w:t>
      </w:r>
    </w:p>
    <w:p w:rsidR="00920732" w:rsidRPr="00920732" w:rsidRDefault="00920732" w:rsidP="00920732">
      <w:pPr>
        <w:ind w:left="720"/>
        <w:rPr>
          <w:color w:val="auto"/>
        </w:rPr>
      </w:pPr>
      <w:r w:rsidRPr="00920732">
        <w:rPr>
          <w:color w:val="auto"/>
        </w:rPr>
        <w:t>Region 3: differs from Regions 1 and 5</w:t>
      </w:r>
    </w:p>
    <w:p w:rsidR="00920732" w:rsidRPr="00920732" w:rsidRDefault="00920732" w:rsidP="00920732">
      <w:pPr>
        <w:ind w:left="720"/>
        <w:rPr>
          <w:color w:val="auto"/>
        </w:rPr>
      </w:pPr>
      <w:r w:rsidRPr="00920732">
        <w:rPr>
          <w:color w:val="auto"/>
        </w:rPr>
        <w:t>Region 5: differs from Region 3</w:t>
      </w:r>
      <w:bookmarkStart w:id="0" w:name="_GoBack"/>
      <w:bookmarkEnd w:id="0"/>
    </w:p>
    <w:p w:rsidR="00920732" w:rsidRPr="00920732" w:rsidRDefault="00920732" w:rsidP="00920732">
      <w:pPr>
        <w:ind w:left="720"/>
        <w:rPr>
          <w:color w:val="auto"/>
        </w:rPr>
      </w:pPr>
      <w:r w:rsidRPr="00920732">
        <w:rPr>
          <w:color w:val="auto"/>
        </w:rPr>
        <w:t>Region 6: differs from Region 1</w:t>
      </w:r>
    </w:p>
    <w:p w:rsidR="00920732" w:rsidRPr="00920732" w:rsidRDefault="00920732" w:rsidP="00920732">
      <w:pPr>
        <w:ind w:left="720"/>
        <w:rPr>
          <w:color w:val="auto"/>
        </w:rPr>
      </w:pPr>
    </w:p>
    <w:p w:rsidR="00920732" w:rsidRPr="00920732" w:rsidRDefault="00920732" w:rsidP="00920732">
      <w:pPr>
        <w:rPr>
          <w:color w:val="auto"/>
        </w:rPr>
      </w:pPr>
    </w:p>
    <w:p w:rsidR="00920732" w:rsidRPr="00920732" w:rsidRDefault="00920732" w:rsidP="00920732">
      <w:pPr>
        <w:rPr>
          <w:color w:val="auto"/>
        </w:rPr>
      </w:pPr>
    </w:p>
    <w:p w:rsidR="00920732" w:rsidRPr="00920732" w:rsidRDefault="00920732">
      <w:pPr>
        <w:rPr>
          <w:color w:val="auto"/>
        </w:rPr>
      </w:pPr>
    </w:p>
    <w:sectPr w:rsidR="00920732" w:rsidRPr="009207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EB"/>
    <w:multiLevelType w:val="multilevel"/>
    <w:tmpl w:val="0FF22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A9D3CB9"/>
    <w:multiLevelType w:val="hybridMultilevel"/>
    <w:tmpl w:val="A51E1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F0EDF"/>
    <w:multiLevelType w:val="multilevel"/>
    <w:tmpl w:val="5BA679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C3114AC"/>
    <w:multiLevelType w:val="multilevel"/>
    <w:tmpl w:val="7CE01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41F342F"/>
    <w:multiLevelType w:val="multilevel"/>
    <w:tmpl w:val="537E7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7720BA"/>
    <w:rsid w:val="00023199"/>
    <w:rsid w:val="000B156C"/>
    <w:rsid w:val="001C421A"/>
    <w:rsid w:val="001E507C"/>
    <w:rsid w:val="00227DF2"/>
    <w:rsid w:val="002612B0"/>
    <w:rsid w:val="00305B51"/>
    <w:rsid w:val="0030622E"/>
    <w:rsid w:val="00352481"/>
    <w:rsid w:val="003851EF"/>
    <w:rsid w:val="00442B51"/>
    <w:rsid w:val="00450930"/>
    <w:rsid w:val="00474B50"/>
    <w:rsid w:val="005426BF"/>
    <w:rsid w:val="006A4B7C"/>
    <w:rsid w:val="006A61B9"/>
    <w:rsid w:val="007720BA"/>
    <w:rsid w:val="00920732"/>
    <w:rsid w:val="009D6E98"/>
    <w:rsid w:val="00A4486E"/>
    <w:rsid w:val="00B74BDD"/>
    <w:rsid w:val="00CB0F4B"/>
    <w:rsid w:val="00CB7A65"/>
    <w:rsid w:val="00D12EA0"/>
    <w:rsid w:val="00DE7D10"/>
    <w:rsid w:val="00E04BD6"/>
    <w:rsid w:val="00E638E0"/>
    <w:rsid w:val="00EC04C4"/>
    <w:rsid w:val="00EE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1BE7"/>
  <w15:docId w15:val="{BC744E9A-2122-4EA0-A8D9-5631A66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B74B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DD"/>
    <w:rPr>
      <w:rFonts w:ascii="Tahoma" w:hAnsi="Tahoma" w:cs="Tahoma"/>
      <w:sz w:val="16"/>
      <w:szCs w:val="16"/>
    </w:rPr>
  </w:style>
  <w:style w:type="paragraph" w:styleId="ListParagraph">
    <w:name w:val="List Paragraph"/>
    <w:basedOn w:val="Normal"/>
    <w:uiPriority w:val="34"/>
    <w:qFormat/>
    <w:rsid w:val="0038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Chapter 6 Material.docx</vt:lpstr>
    </vt:vector>
  </TitlesOfParts>
  <Company>Sage Publications</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Material.docx</dc:title>
  <dc:creator>Oldfield, Matthew</dc:creator>
  <cp:lastModifiedBy>Andrea-Jane Morris</cp:lastModifiedBy>
  <cp:revision>2</cp:revision>
  <dcterms:created xsi:type="dcterms:W3CDTF">2019-12-04T11:40:00Z</dcterms:created>
  <dcterms:modified xsi:type="dcterms:W3CDTF">2019-12-04T11:40:00Z</dcterms:modified>
</cp:coreProperties>
</file>