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38F83" w14:textId="77777777" w:rsidR="00F71124" w:rsidRDefault="00F71124" w:rsidP="00F71124">
      <w:pPr>
        <w:pStyle w:val="Title"/>
      </w:pPr>
      <w:r>
        <w:rPr>
          <w:noProof/>
        </w:rPr>
        <mc:AlternateContent>
          <mc:Choice Requires="wps">
            <w:drawing>
              <wp:anchor distT="0" distB="0" distL="114300" distR="114300" simplePos="0" relativeHeight="251659264" behindDoc="0" locked="0" layoutInCell="1" allowOverlap="1" wp14:anchorId="68A53C3A" wp14:editId="26045A48">
                <wp:simplePos x="0" y="0"/>
                <wp:positionH relativeFrom="margin">
                  <wp:align>left</wp:align>
                </wp:positionH>
                <wp:positionV relativeFrom="paragraph">
                  <wp:posOffset>5715</wp:posOffset>
                </wp:positionV>
                <wp:extent cx="5641340" cy="2631440"/>
                <wp:effectExtent l="0" t="0" r="16510" b="16510"/>
                <wp:wrapNone/>
                <wp:docPr id="13" name="Rectangle 13"/>
                <wp:cNvGraphicFramePr/>
                <a:graphic xmlns:a="http://schemas.openxmlformats.org/drawingml/2006/main">
                  <a:graphicData uri="http://schemas.microsoft.com/office/word/2010/wordprocessingShape">
                    <wps:wsp>
                      <wps:cNvSpPr/>
                      <wps:spPr>
                        <a:xfrm>
                          <a:off x="0" y="0"/>
                          <a:ext cx="5641340" cy="26314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FC08A6D" w14:textId="6EA7C6EB" w:rsidR="00F71124" w:rsidRDefault="00F71124" w:rsidP="00F71124">
                            <w:pPr>
                              <w:pStyle w:val="CTChapterTitle"/>
                              <w:rPr>
                                <w:color w:val="FFFFFF" w:themeColor="background1"/>
                              </w:rPr>
                            </w:pPr>
                            <w:r w:rsidRPr="00F71124">
                              <w:rPr>
                                <w:color w:val="FFFFFF" w:themeColor="background1"/>
                              </w:rPr>
                              <w:t>Website content</w:t>
                            </w:r>
                            <w:r w:rsidRPr="006516FD">
                              <w:rPr>
                                <w:color w:val="FFFFFF" w:themeColor="background1"/>
                              </w:rPr>
                              <w:t xml:space="preserve"> for</w:t>
                            </w:r>
                          </w:p>
                          <w:p w14:paraId="588B60B9" w14:textId="77777777" w:rsidR="00F71124" w:rsidRPr="006516FD" w:rsidRDefault="00F71124" w:rsidP="00F71124">
                            <w:pPr>
                              <w:pStyle w:val="CTChapterTitle"/>
                              <w:rPr>
                                <w:color w:val="FFFFFF" w:themeColor="background1"/>
                              </w:rPr>
                            </w:pPr>
                            <w:r w:rsidRPr="002A43E2">
                              <w:rPr>
                                <w:color w:val="FFFFFF" w:themeColor="background1"/>
                              </w:rPr>
                              <w:t>Cross &amp; Woodall</w:t>
                            </w:r>
                            <w:r>
                              <w:rPr>
                                <w:color w:val="FFFFFF" w:themeColor="background1"/>
                              </w:rPr>
                              <w:t>:</w:t>
                            </w:r>
                            <w:r w:rsidRPr="002A43E2">
                              <w:rPr>
                                <w:color w:val="FFFFFF" w:themeColor="background1"/>
                              </w:rPr>
                              <w:t xml:space="preserve"> </w:t>
                            </w:r>
                            <w:r w:rsidRPr="002B062F">
                              <w:rPr>
                                <w:i/>
                                <w:iCs/>
                                <w:color w:val="FFFFFF" w:themeColor="background1"/>
                              </w:rPr>
                              <w:t>Green &amp; Tones’ Health Promotion: Planning &amp; Strategies</w:t>
                            </w:r>
                            <w:r w:rsidRPr="006516FD">
                              <w:rPr>
                                <w:color w:val="FFFFFF" w:themeColor="background1"/>
                              </w:rPr>
                              <w:t xml:space="preserve">, </w:t>
                            </w:r>
                            <w:r>
                              <w:rPr>
                                <w:color w:val="FFFFFF" w:themeColor="background1"/>
                              </w:rPr>
                              <w:t>5</w:t>
                            </w:r>
                            <w:r w:rsidRPr="006516FD">
                              <w:rPr>
                                <w:color w:val="FFFFFF" w:themeColor="background1"/>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A53C3A" id="Rectangle 13" o:spid="_x0000_s1026" style="position:absolute;margin-left:0;margin-top:.45pt;width:444.2pt;height:207.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" filled="f" strokecolor="#1f4d78 [1604]" strokeweight="1pt">
                <v:textbox>
                  <w:txbxContent>
                    <w:p w14:paraId="3FC08A6D" w14:textId="6EA7C6EB" w:rsidR="00F71124" w:rsidRDefault="00F71124" w:rsidP="00F71124">
                      <w:pPr>
                        <w:pStyle w:val="CTChapterTitle"/>
                        <w:rPr>
                          <w:color w:val="FFFFFF" w:themeColor="background1"/>
                        </w:rPr>
                      </w:pPr>
                      <w:r w:rsidRPr="00F71124">
                        <w:rPr>
                          <w:color w:val="FFFFFF" w:themeColor="background1"/>
                        </w:rPr>
                        <w:t>Website content</w:t>
                      </w:r>
                      <w:r w:rsidRPr="006516FD">
                        <w:rPr>
                          <w:color w:val="FFFFFF" w:themeColor="background1"/>
                        </w:rPr>
                        <w:t xml:space="preserve"> for</w:t>
                      </w:r>
                    </w:p>
                    <w:p w14:paraId="588B60B9" w14:textId="77777777" w:rsidR="00F71124" w:rsidRPr="006516FD" w:rsidRDefault="00F71124" w:rsidP="00F71124">
                      <w:pPr>
                        <w:pStyle w:val="CTChapterTitle"/>
                        <w:rPr>
                          <w:color w:val="FFFFFF" w:themeColor="background1"/>
                        </w:rPr>
                      </w:pPr>
                      <w:r w:rsidRPr="002A43E2">
                        <w:rPr>
                          <w:color w:val="FFFFFF" w:themeColor="background1"/>
                        </w:rPr>
                        <w:t>Cross &amp; Woodall</w:t>
                      </w:r>
                      <w:r>
                        <w:rPr>
                          <w:color w:val="FFFFFF" w:themeColor="background1"/>
                        </w:rPr>
                        <w:t>:</w:t>
                      </w:r>
                      <w:r w:rsidRPr="002A43E2">
                        <w:rPr>
                          <w:color w:val="FFFFFF" w:themeColor="background1"/>
                        </w:rPr>
                        <w:t xml:space="preserve"> </w:t>
                      </w:r>
                      <w:r w:rsidRPr="002B062F">
                        <w:rPr>
                          <w:i/>
                          <w:iCs/>
                          <w:color w:val="FFFFFF" w:themeColor="background1"/>
                        </w:rPr>
                        <w:t>Green &amp; Tones’ Health Promotion: Planning &amp; Strategies</w:t>
                      </w:r>
                      <w:r w:rsidRPr="006516FD">
                        <w:rPr>
                          <w:color w:val="FFFFFF" w:themeColor="background1"/>
                        </w:rPr>
                        <w:t xml:space="preserve">, </w:t>
                      </w:r>
                      <w:r>
                        <w:rPr>
                          <w:color w:val="FFFFFF" w:themeColor="background1"/>
                        </w:rPr>
                        <w:t>5</w:t>
                      </w:r>
                      <w:r w:rsidRPr="006516FD">
                        <w:rPr>
                          <w:color w:val="FFFFFF" w:themeColor="background1"/>
                        </w:rPr>
                        <w:t>e</w:t>
                      </w:r>
                    </w:p>
                  </w:txbxContent>
                </v:textbox>
                <w10:wrap anchorx="margin"/>
              </v:rect>
            </w:pict>
          </mc:Fallback>
        </mc:AlternateContent>
      </w:r>
      <w:r>
        <w:rPr>
          <w:noProof/>
        </w:rPr>
        <w:drawing>
          <wp:inline distT="0" distB="0" distL="0" distR="0" wp14:anchorId="10085480" wp14:editId="2A9E6BE6">
            <wp:extent cx="5641848" cy="2651760"/>
            <wp:effectExtent l="0" t="0" r="0" b="0"/>
            <wp:docPr id="12" name="Picture 12" descr="A blue square with white dots&#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Companion Website Banner Template_SAGE Publishing_BLUE (002).jp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5641848" cy="2651760"/>
                    </a:xfrm>
                    <a:prstGeom prst="rect">
                      <a:avLst/>
                    </a:prstGeom>
                    <a:noFill/>
                  </pic:spPr>
                </pic:pic>
              </a:graphicData>
            </a:graphic>
          </wp:inline>
        </w:drawing>
      </w:r>
    </w:p>
    <w:p w14:paraId="7336B211" w14:textId="644F5DA7" w:rsidR="00EA37CD" w:rsidRPr="001771BC" w:rsidRDefault="00A81DA8" w:rsidP="00F71124">
      <w:pPr>
        <w:pStyle w:val="Heading1"/>
      </w:pPr>
      <w:r w:rsidRPr="001771BC">
        <w:t>SAGE Journal Articles per chapter:</w:t>
      </w:r>
    </w:p>
    <w:p w14:paraId="5FA669DE" w14:textId="23D0109F" w:rsidR="00EA37CD" w:rsidRPr="001771BC" w:rsidRDefault="00A81DA8" w:rsidP="001202B1">
      <w:pPr>
        <w:pStyle w:val="Heading2"/>
      </w:pPr>
      <w:r w:rsidRPr="001771BC">
        <w:t>Chapter 1</w:t>
      </w:r>
      <w:r w:rsidR="00FA28D3" w:rsidRPr="001771BC">
        <w:t>:</w:t>
      </w:r>
      <w:r w:rsidRPr="001771BC">
        <w:t xml:space="preserve"> Health and </w:t>
      </w:r>
      <w:r w:rsidR="00C830A0" w:rsidRPr="001771BC">
        <w:t>health promotion</w:t>
      </w:r>
    </w:p>
    <w:p w14:paraId="23F710BE" w14:textId="494F6C64" w:rsidR="00EA37CD" w:rsidRPr="001771BC" w:rsidRDefault="00EB275E" w:rsidP="004A249C">
      <w:r w:rsidRPr="001771BC">
        <w:t xml:space="preserve">Reducing health inequalities and improving health equity is, as Bambra et al. (2021) argue, the </w:t>
      </w:r>
      <w:r w:rsidR="002D4CB7">
        <w:t>‘</w:t>
      </w:r>
      <w:r w:rsidRPr="001771BC">
        <w:t>holy grail’ of public health (and health promotion).</w:t>
      </w:r>
      <w:r w:rsidR="002D4CB7">
        <w:t xml:space="preserve"> </w:t>
      </w:r>
      <w:r w:rsidRPr="001771BC">
        <w:t>This paper presents and analyses historical examples of when significant population-level reductions in health inequalities have been achieved:</w:t>
      </w:r>
    </w:p>
    <w:p w14:paraId="2B5F958B" w14:textId="08F85BA0" w:rsidR="00EA37CD" w:rsidRPr="001771BC" w:rsidRDefault="00EB275E" w:rsidP="004A249C">
      <w:pPr>
        <w:ind w:left="432"/>
      </w:pPr>
      <w:r w:rsidRPr="001771BC">
        <w:t>Bambra, C. (2021)</w:t>
      </w:r>
      <w:r w:rsidR="00BD062A">
        <w:t>.</w:t>
      </w:r>
      <w:r w:rsidRPr="001771BC">
        <w:t xml:space="preserve"> Levelling up: Global examples of reducing health inequalities. </w:t>
      </w:r>
      <w:r w:rsidR="00A81DA8" w:rsidRPr="001771BC">
        <w:rPr>
          <w:i/>
        </w:rPr>
        <w:t xml:space="preserve">Scandinavian Journal of Public Health, </w:t>
      </w:r>
      <w:r w:rsidRPr="003F2CB0">
        <w:rPr>
          <w:i/>
          <w:iCs/>
        </w:rPr>
        <w:t>50</w:t>
      </w:r>
      <w:r w:rsidRPr="001771BC">
        <w:t xml:space="preserve">(7), </w:t>
      </w:r>
      <w:r w:rsidR="006778FE">
        <w:t xml:space="preserve">908–913. </w:t>
      </w:r>
      <w:hyperlink r:id="rId9" w:history="1">
        <w:r w:rsidRPr="002D4CB7">
          <w:rPr>
            <w:rStyle w:val="Hyperlink"/>
          </w:rPr>
          <w:t>https//doi.org/10.1777/14034948211022428</w:t>
        </w:r>
      </w:hyperlink>
    </w:p>
    <w:p w14:paraId="3B8DFD96" w14:textId="2FDFACDA" w:rsidR="00EA37CD" w:rsidRPr="001771BC" w:rsidRDefault="00EB275E" w:rsidP="004A249C">
      <w:r w:rsidRPr="001771BC">
        <w:t xml:space="preserve">This paper provides an example of the application of </w:t>
      </w:r>
      <w:r w:rsidR="00527A48">
        <w:t xml:space="preserve">the </w:t>
      </w:r>
      <w:r w:rsidRPr="001771BC">
        <w:t>social network analysis method to assess community participation</w:t>
      </w:r>
      <w:r w:rsidR="00527A48">
        <w:t>,</w:t>
      </w:r>
      <w:r w:rsidRPr="001771BC">
        <w:t xml:space="preserve"> thereby strengthening</w:t>
      </w:r>
      <w:r w:rsidR="00527A48">
        <w:t xml:space="preserve"> the</w:t>
      </w:r>
      <w:r w:rsidRPr="001771BC">
        <w:t xml:space="preserve"> planning and implementation of health promotion programming:</w:t>
      </w:r>
    </w:p>
    <w:p w14:paraId="0C307423" w14:textId="557B1B9B" w:rsidR="00EA37CD" w:rsidRPr="001771BC" w:rsidRDefault="00EB275E" w:rsidP="004A249C">
      <w:pPr>
        <w:ind w:left="432"/>
      </w:pPr>
      <w:r w:rsidRPr="001771BC">
        <w:t>Hindhede, A.L. and Aagaard-Hansen, J. (2017)</w:t>
      </w:r>
      <w:r w:rsidR="00BD062A">
        <w:t>.</w:t>
      </w:r>
      <w:r w:rsidRPr="001771BC">
        <w:t xml:space="preserve"> Using </w:t>
      </w:r>
      <w:r w:rsidR="006778FE" w:rsidRPr="001771BC">
        <w:t>social network analysis as a method to assess and strengthen participation in health promotion programs in vulnerable areas</w:t>
      </w:r>
      <w:r w:rsidRPr="001771BC">
        <w:t xml:space="preserve">. </w:t>
      </w:r>
      <w:r w:rsidR="00A81DA8" w:rsidRPr="001771BC">
        <w:rPr>
          <w:i/>
        </w:rPr>
        <w:t>Health Promotion Practice,</w:t>
      </w:r>
      <w:r w:rsidR="002D4CB7">
        <w:rPr>
          <w:i/>
        </w:rPr>
        <w:t xml:space="preserve"> </w:t>
      </w:r>
      <w:r w:rsidRPr="006778FE">
        <w:rPr>
          <w:i/>
          <w:iCs/>
        </w:rPr>
        <w:t>18</w:t>
      </w:r>
      <w:r w:rsidRPr="001771BC">
        <w:t xml:space="preserve">(2), </w:t>
      </w:r>
      <w:r w:rsidR="006778FE">
        <w:t xml:space="preserve">175–183. </w:t>
      </w:r>
      <w:hyperlink r:id="rId10" w:history="1">
        <w:r w:rsidR="006778FE" w:rsidRPr="008F34A6">
          <w:rPr>
            <w:rStyle w:val="Hyperlink"/>
          </w:rPr>
          <w:t>https://doi.org/10/1177/1524839916686029</w:t>
        </w:r>
      </w:hyperlink>
    </w:p>
    <w:p w14:paraId="0AA6636B" w14:textId="31F8E33B" w:rsidR="00E73786" w:rsidRPr="00E73786" w:rsidRDefault="00E73786" w:rsidP="00E73786">
      <w:r w:rsidRPr="00E73786">
        <w:lastRenderedPageBreak/>
        <w:t>Social and cultural contexts influence concepts of health and of health promotion. This qualitative study explores the socio-cultural health concepts of women in rural Nepal. The findings have the potential to influence policy and practice in this context</w:t>
      </w:r>
      <w:r>
        <w:t>:</w:t>
      </w:r>
    </w:p>
    <w:p w14:paraId="74EB6685" w14:textId="0BF91657" w:rsidR="00EA37CD" w:rsidRPr="001771BC" w:rsidRDefault="00EB275E" w:rsidP="004A249C">
      <w:pPr>
        <w:ind w:left="432"/>
      </w:pPr>
      <w:r w:rsidRPr="001771BC">
        <w:t>Yang, Y., Bekemeier, B. and Choi, J. (2018)</w:t>
      </w:r>
      <w:r w:rsidR="00DA153F">
        <w:t>.</w:t>
      </w:r>
      <w:r w:rsidRPr="001771BC">
        <w:t xml:space="preserve"> A cultural and contextual analysis of health concepts and needs of women in a rural district of Nepal. </w:t>
      </w:r>
      <w:r w:rsidR="00A81DA8" w:rsidRPr="001771BC">
        <w:rPr>
          <w:i/>
        </w:rPr>
        <w:t xml:space="preserve">Global Health Promotion, </w:t>
      </w:r>
      <w:r w:rsidRPr="00E73786">
        <w:rPr>
          <w:i/>
          <w:iCs/>
        </w:rPr>
        <w:t>25</w:t>
      </w:r>
      <w:r w:rsidRPr="001771BC">
        <w:t>(1)</w:t>
      </w:r>
      <w:r w:rsidR="00DA153F">
        <w:t>,</w:t>
      </w:r>
      <w:r w:rsidRPr="001771BC">
        <w:t xml:space="preserve"> 15</w:t>
      </w:r>
      <w:r w:rsidR="00DA153F" w:rsidRPr="00DA153F">
        <w:t>–</w:t>
      </w:r>
      <w:r w:rsidRPr="001771BC">
        <w:t>22.</w:t>
      </w:r>
    </w:p>
    <w:p w14:paraId="0924FC4F" w14:textId="0AE8BBE4" w:rsidR="00EA37CD" w:rsidRPr="001771BC" w:rsidRDefault="00A81DA8" w:rsidP="001202B1">
      <w:pPr>
        <w:pStyle w:val="Heading2"/>
      </w:pPr>
      <w:r w:rsidRPr="001771BC">
        <w:t>Chapter 2</w:t>
      </w:r>
      <w:r w:rsidR="00FA28D3" w:rsidRPr="001771BC">
        <w:t>:</w:t>
      </w:r>
      <w:r w:rsidRPr="001771BC">
        <w:t xml:space="preserve"> Assessing </w:t>
      </w:r>
      <w:r w:rsidR="00C830A0" w:rsidRPr="001771BC">
        <w:t>health and its determinants</w:t>
      </w:r>
    </w:p>
    <w:p w14:paraId="164ABCA3" w14:textId="6DDABB74" w:rsidR="00EA37CD" w:rsidRPr="001771BC" w:rsidRDefault="00EB275E" w:rsidP="004A249C">
      <w:r w:rsidRPr="001771BC">
        <w:t xml:space="preserve">This paper evaluates the use of religiosity and spirituality during the </w:t>
      </w:r>
      <w:r w:rsidRPr="00D030A0">
        <w:t>C</w:t>
      </w:r>
      <w:r w:rsidR="000F770B" w:rsidRPr="00E73786">
        <w:t>OVID</w:t>
      </w:r>
      <w:r w:rsidRPr="00D030A0">
        <w:t>-1</w:t>
      </w:r>
      <w:r w:rsidRPr="001771BC">
        <w:t>9 pandemic in Brazil and investigates the association between religiosity and spirituality and the mental health consequences of social isolation:</w:t>
      </w:r>
    </w:p>
    <w:p w14:paraId="6C9B4B6F" w14:textId="3B9835CC" w:rsidR="00EA37CD" w:rsidRPr="001771BC" w:rsidRDefault="00EB275E" w:rsidP="004A249C">
      <w:pPr>
        <w:ind w:left="432"/>
      </w:pPr>
      <w:r w:rsidRPr="001771BC">
        <w:t>Lucchetti et al. (2020)</w:t>
      </w:r>
      <w:r w:rsidR="00DA153F">
        <w:t>.</w:t>
      </w:r>
      <w:r w:rsidRPr="001771BC">
        <w:t xml:space="preserve"> Spirituality, </w:t>
      </w:r>
      <w:proofErr w:type="gramStart"/>
      <w:r w:rsidRPr="001771BC">
        <w:t>religiosity</w:t>
      </w:r>
      <w:proofErr w:type="gramEnd"/>
      <w:r w:rsidRPr="001771BC">
        <w:t xml:space="preserve"> and the mental health consequences of social isolation during Covid-19 pandemic.</w:t>
      </w:r>
      <w:r w:rsidR="006778FE">
        <w:t xml:space="preserve"> </w:t>
      </w:r>
      <w:r w:rsidR="006778FE">
        <w:rPr>
          <w:i/>
          <w:iCs/>
        </w:rPr>
        <w:t>The International Journal of Social Psychiatry,</w:t>
      </w:r>
      <w:r w:rsidRPr="001771BC">
        <w:t xml:space="preserve"> </w:t>
      </w:r>
      <w:r w:rsidRPr="006778FE">
        <w:rPr>
          <w:i/>
          <w:iCs/>
        </w:rPr>
        <w:t>67</w:t>
      </w:r>
      <w:r w:rsidRPr="001771BC">
        <w:t>(6),</w:t>
      </w:r>
      <w:r w:rsidR="006778FE">
        <w:t xml:space="preserve"> 672–379. </w:t>
      </w:r>
      <w:hyperlink r:id="rId11" w:history="1">
        <w:r w:rsidRPr="001771BC">
          <w:rPr>
            <w:rStyle w:val="Hyperlink"/>
          </w:rPr>
          <w:t>https://doi.org/10.1177/0020764020970996</w:t>
        </w:r>
      </w:hyperlink>
    </w:p>
    <w:p w14:paraId="0B5D4998" w14:textId="7D9A8D78" w:rsidR="00E73786" w:rsidRPr="006778FE" w:rsidRDefault="00E73786" w:rsidP="006778FE">
      <w:r w:rsidRPr="006778FE">
        <w:t xml:space="preserve">Using 40 years of data this paper examines economic hardship, social </w:t>
      </w:r>
      <w:proofErr w:type="gramStart"/>
      <w:r w:rsidRPr="006778FE">
        <w:t>mobility</w:t>
      </w:r>
      <w:proofErr w:type="gramEnd"/>
      <w:r w:rsidRPr="006778FE">
        <w:t xml:space="preserve"> and health outcomes and how these are related to each other over the life course</w:t>
      </w:r>
      <w:r>
        <w:t>:</w:t>
      </w:r>
    </w:p>
    <w:p w14:paraId="16BB3A96" w14:textId="661A6041" w:rsidR="00EA37CD" w:rsidRPr="001771BC" w:rsidRDefault="00EB275E" w:rsidP="004A249C">
      <w:pPr>
        <w:ind w:left="432"/>
      </w:pPr>
      <w:r w:rsidRPr="001771BC">
        <w:t>Wilson, A.E. and Shuey, K.M. (2016)</w:t>
      </w:r>
      <w:r w:rsidR="00DA153F">
        <w:t>.</w:t>
      </w:r>
      <w:r w:rsidRPr="001771BC">
        <w:t xml:space="preserve"> Life </w:t>
      </w:r>
      <w:r w:rsidR="00033750">
        <w:t>c</w:t>
      </w:r>
      <w:r w:rsidRPr="001771BC">
        <w:t xml:space="preserve">ourse </w:t>
      </w:r>
      <w:r w:rsidR="00033750">
        <w:t>p</w:t>
      </w:r>
      <w:r w:rsidRPr="001771BC">
        <w:t xml:space="preserve">athways of </w:t>
      </w:r>
      <w:r w:rsidR="00033750">
        <w:t>e</w:t>
      </w:r>
      <w:r w:rsidRPr="001771BC">
        <w:t xml:space="preserve">conomic </w:t>
      </w:r>
      <w:r w:rsidR="00033750">
        <w:t>h</w:t>
      </w:r>
      <w:r w:rsidRPr="001771BC">
        <w:t xml:space="preserve">ardship and </w:t>
      </w:r>
      <w:r w:rsidR="00033750">
        <w:t>m</w:t>
      </w:r>
      <w:r w:rsidRPr="001771BC">
        <w:t xml:space="preserve">obility and </w:t>
      </w:r>
      <w:r w:rsidR="00033750">
        <w:t>m</w:t>
      </w:r>
      <w:r w:rsidRPr="001771BC">
        <w:t xml:space="preserve">idlife </w:t>
      </w:r>
      <w:r w:rsidR="00033750">
        <w:t>t</w:t>
      </w:r>
      <w:r w:rsidRPr="001771BC">
        <w:t xml:space="preserve">rajectories of </w:t>
      </w:r>
      <w:r w:rsidR="00033750">
        <w:t>h</w:t>
      </w:r>
      <w:r w:rsidRPr="001771BC">
        <w:t xml:space="preserve">ealth. </w:t>
      </w:r>
      <w:r w:rsidR="00A81DA8" w:rsidRPr="001771BC">
        <w:rPr>
          <w:i/>
        </w:rPr>
        <w:t xml:space="preserve">Journal of Health and Social </w:t>
      </w:r>
      <w:proofErr w:type="spellStart"/>
      <w:r w:rsidR="00A81DA8" w:rsidRPr="001771BC">
        <w:rPr>
          <w:i/>
        </w:rPr>
        <w:t>Behaviour</w:t>
      </w:r>
      <w:proofErr w:type="spellEnd"/>
      <w:r w:rsidR="00A81DA8" w:rsidRPr="001771BC">
        <w:rPr>
          <w:i/>
        </w:rPr>
        <w:t xml:space="preserve">, </w:t>
      </w:r>
      <w:r w:rsidRPr="006778FE">
        <w:rPr>
          <w:i/>
          <w:iCs/>
        </w:rPr>
        <w:t>57</w:t>
      </w:r>
      <w:r w:rsidRPr="001771BC">
        <w:t>(3)</w:t>
      </w:r>
      <w:r w:rsidR="00DA153F">
        <w:t>,</w:t>
      </w:r>
      <w:r w:rsidRPr="001771BC">
        <w:t xml:space="preserve"> 407</w:t>
      </w:r>
      <w:r w:rsidR="00DA153F" w:rsidRPr="00DA153F">
        <w:t>–</w:t>
      </w:r>
      <w:r w:rsidRPr="001771BC">
        <w:t>422.</w:t>
      </w:r>
    </w:p>
    <w:p w14:paraId="769F01B2" w14:textId="1CEB9653" w:rsidR="00E73786" w:rsidRPr="00E73786" w:rsidRDefault="00E73786" w:rsidP="004A249C">
      <w:r w:rsidRPr="00E73786">
        <w:t xml:space="preserve">This paper examines the association between self-related health and social capital, at individual and </w:t>
      </w:r>
      <w:proofErr w:type="spellStart"/>
      <w:r w:rsidRPr="00E73786">
        <w:t>neighbourhood</w:t>
      </w:r>
      <w:proofErr w:type="spellEnd"/>
      <w:r w:rsidRPr="00E73786">
        <w:t xml:space="preserve"> levels and discusses potential health promotion strategies for the local context</w:t>
      </w:r>
      <w:r>
        <w:t>:</w:t>
      </w:r>
    </w:p>
    <w:p w14:paraId="3EDDF6A2" w14:textId="2CFB1C6E" w:rsidR="00EA37CD" w:rsidRPr="001771BC" w:rsidRDefault="00EB275E" w:rsidP="004A249C">
      <w:pPr>
        <w:ind w:left="432"/>
      </w:pPr>
      <w:r w:rsidRPr="001771BC">
        <w:t>Miyamoto, K., Iwakuma, M. and Nakayama, T. (2017)</w:t>
      </w:r>
      <w:r w:rsidR="00DA153F">
        <w:t>.</w:t>
      </w:r>
      <w:r w:rsidRPr="001771BC">
        <w:t xml:space="preserve"> Social capital and health: </w:t>
      </w:r>
      <w:r w:rsidR="00DA153F">
        <w:t>I</w:t>
      </w:r>
      <w:r w:rsidRPr="001771BC">
        <w:t xml:space="preserve">mplications for health promotion by lay citizens in Japan. </w:t>
      </w:r>
      <w:r w:rsidR="00A81DA8" w:rsidRPr="001771BC">
        <w:rPr>
          <w:i/>
        </w:rPr>
        <w:t xml:space="preserve">Global Health Promotion, </w:t>
      </w:r>
      <w:r w:rsidRPr="006778FE">
        <w:rPr>
          <w:i/>
          <w:iCs/>
        </w:rPr>
        <w:t>22</w:t>
      </w:r>
      <w:r w:rsidRPr="001771BC">
        <w:t>(4)</w:t>
      </w:r>
      <w:r w:rsidR="00DA153F">
        <w:t>,</w:t>
      </w:r>
      <w:r w:rsidRPr="001771BC">
        <w:t xml:space="preserve"> 5</w:t>
      </w:r>
      <w:r w:rsidR="00DA153F" w:rsidRPr="00DA153F">
        <w:t>–</w:t>
      </w:r>
      <w:r w:rsidRPr="001771BC">
        <w:t>19.</w:t>
      </w:r>
    </w:p>
    <w:p w14:paraId="3FBDF8AC" w14:textId="7AEF17A9" w:rsidR="00EA37CD" w:rsidRPr="001771BC" w:rsidRDefault="00A81DA8" w:rsidP="001202B1">
      <w:pPr>
        <w:pStyle w:val="Heading2"/>
      </w:pPr>
      <w:r w:rsidRPr="001771BC">
        <w:t>Chapter 3</w:t>
      </w:r>
      <w:r w:rsidR="00FA28D3" w:rsidRPr="001771BC">
        <w:t>:</w:t>
      </w:r>
      <w:r w:rsidRPr="001771BC">
        <w:t xml:space="preserve"> The </w:t>
      </w:r>
      <w:r w:rsidR="00C830A0" w:rsidRPr="001771BC">
        <w:t>determinants of health actions</w:t>
      </w:r>
    </w:p>
    <w:p w14:paraId="05BCD560" w14:textId="64893235" w:rsidR="00EA37CD" w:rsidRPr="001771BC" w:rsidRDefault="00EB275E" w:rsidP="004A249C">
      <w:r w:rsidRPr="001771BC">
        <w:t>Empowerment is a core principle of health promotion</w:t>
      </w:r>
      <w:r w:rsidR="002E2D8A">
        <w:t>;</w:t>
      </w:r>
      <w:r w:rsidRPr="001771BC">
        <w:t xml:space="preserve"> however, there is a lack of </w:t>
      </w:r>
      <w:r w:rsidR="002E2D8A" w:rsidRPr="001771BC">
        <w:t>standardization</w:t>
      </w:r>
      <w:r w:rsidRPr="001771BC">
        <w:t xml:space="preserve"> about how empowerment is evaluated within health promotion interventions.</w:t>
      </w:r>
      <w:r w:rsidR="002D4CB7">
        <w:t xml:space="preserve"> </w:t>
      </w:r>
      <w:r w:rsidRPr="001771BC">
        <w:t>This systematic review looks at a range of empowerment-based health promotion interventions to deduce recommendations that might help to conduct high-quality evaluations of empowerment:</w:t>
      </w:r>
    </w:p>
    <w:p w14:paraId="4DFBD1E7" w14:textId="7D13D3AE" w:rsidR="00EA37CD" w:rsidRPr="001771BC" w:rsidRDefault="00EB275E" w:rsidP="006778FE">
      <w:pPr>
        <w:spacing w:line="240" w:lineRule="auto"/>
        <w:ind w:left="432"/>
      </w:pPr>
      <w:proofErr w:type="spellStart"/>
      <w:r w:rsidRPr="001771BC">
        <w:lastRenderedPageBreak/>
        <w:t>Lindacher</w:t>
      </w:r>
      <w:proofErr w:type="spellEnd"/>
      <w:r w:rsidRPr="001771BC">
        <w:t xml:space="preserve"> et al. (2017)</w:t>
      </w:r>
      <w:r w:rsidR="00DA153F">
        <w:t>.</w:t>
      </w:r>
      <w:r w:rsidRPr="001771BC">
        <w:t xml:space="preserve"> Evaluation of </w:t>
      </w:r>
      <w:r w:rsidR="00DA153F">
        <w:t>e</w:t>
      </w:r>
      <w:r w:rsidRPr="001771BC">
        <w:t xml:space="preserve">mpowerment in </w:t>
      </w:r>
      <w:r w:rsidR="00DA153F">
        <w:t>h</w:t>
      </w:r>
      <w:r w:rsidRPr="001771BC">
        <w:t xml:space="preserve">ealth </w:t>
      </w:r>
      <w:r w:rsidR="00DA153F">
        <w:t>p</w:t>
      </w:r>
      <w:r w:rsidRPr="001771BC">
        <w:t xml:space="preserve">romotion </w:t>
      </w:r>
      <w:r w:rsidR="00DA153F">
        <w:t>i</w:t>
      </w:r>
      <w:r w:rsidRPr="001771BC">
        <w:t xml:space="preserve">nterventions: A </w:t>
      </w:r>
      <w:r w:rsidR="00DA153F">
        <w:t>s</w:t>
      </w:r>
      <w:r w:rsidRPr="001771BC">
        <w:t xml:space="preserve">ystematic </w:t>
      </w:r>
      <w:r w:rsidR="00DA153F">
        <w:t>r</w:t>
      </w:r>
      <w:r w:rsidRPr="001771BC">
        <w:t xml:space="preserve">eview. </w:t>
      </w:r>
      <w:r w:rsidR="00A81DA8" w:rsidRPr="001771BC">
        <w:rPr>
          <w:i/>
        </w:rPr>
        <w:t>Evaluation &amp; the Health Professions</w:t>
      </w:r>
      <w:r w:rsidR="00033750" w:rsidRPr="006778FE">
        <w:rPr>
          <w:iCs/>
        </w:rPr>
        <w:t>,</w:t>
      </w:r>
      <w:r w:rsidR="00A81DA8" w:rsidRPr="001771BC">
        <w:rPr>
          <w:i/>
        </w:rPr>
        <w:t xml:space="preserve"> </w:t>
      </w:r>
      <w:r w:rsidRPr="006778FE">
        <w:rPr>
          <w:i/>
          <w:iCs/>
        </w:rPr>
        <w:t>41</w:t>
      </w:r>
      <w:r w:rsidRPr="001771BC">
        <w:t xml:space="preserve">(3), </w:t>
      </w:r>
      <w:r w:rsidR="006778FE">
        <w:t xml:space="preserve">351–392. </w:t>
      </w:r>
      <w:hyperlink r:id="rId12" w:history="1">
        <w:r w:rsidR="006778FE" w:rsidRPr="008F34A6">
          <w:rPr>
            <w:rStyle w:val="Hyperlink"/>
          </w:rPr>
          <w:t>https://doi.org/10.1177/0163278716688065</w:t>
        </w:r>
      </w:hyperlink>
    </w:p>
    <w:p w14:paraId="1C756ED3" w14:textId="49DDE85F" w:rsidR="00EA37CD" w:rsidRPr="001771BC" w:rsidRDefault="00EB275E" w:rsidP="004A249C">
      <w:r w:rsidRPr="001771BC">
        <w:t xml:space="preserve">This paper examines the potential changes that have taken place with respect to health </w:t>
      </w:r>
      <w:proofErr w:type="spellStart"/>
      <w:r w:rsidRPr="001771BC">
        <w:t>behaviours</w:t>
      </w:r>
      <w:proofErr w:type="spellEnd"/>
      <w:r w:rsidRPr="001771BC">
        <w:t xml:space="preserve"> in the light of the </w:t>
      </w:r>
      <w:r w:rsidRPr="00D030A0">
        <w:t>COVID-19</w:t>
      </w:r>
      <w:r w:rsidRPr="001771BC">
        <w:t xml:space="preserve"> pandemic and the subsequent potential impact on mental health:</w:t>
      </w:r>
    </w:p>
    <w:p w14:paraId="2B4245D8" w14:textId="36B83D0F" w:rsidR="00EA37CD" w:rsidRPr="001771BC" w:rsidRDefault="00EB275E" w:rsidP="004A249C">
      <w:pPr>
        <w:ind w:left="432"/>
      </w:pPr>
      <w:r w:rsidRPr="001771BC">
        <w:t>Arora, T. and Grey, I. (2020)</w:t>
      </w:r>
      <w:r w:rsidR="00DA153F">
        <w:t>.</w:t>
      </w:r>
      <w:r w:rsidRPr="001771BC">
        <w:t xml:space="preserve"> Health </w:t>
      </w:r>
      <w:proofErr w:type="spellStart"/>
      <w:r w:rsidRPr="001771BC">
        <w:t>behaviour</w:t>
      </w:r>
      <w:proofErr w:type="spellEnd"/>
      <w:r w:rsidRPr="001771BC">
        <w:t xml:space="preserve"> changes during COVID-19 and the potential consequences: A mini-review. </w:t>
      </w:r>
      <w:r w:rsidR="00A81DA8" w:rsidRPr="001771BC">
        <w:rPr>
          <w:i/>
        </w:rPr>
        <w:t xml:space="preserve">Journal of Health Psychology, </w:t>
      </w:r>
      <w:r w:rsidRPr="006778FE">
        <w:rPr>
          <w:i/>
          <w:iCs/>
        </w:rPr>
        <w:t>25</w:t>
      </w:r>
      <w:r w:rsidRPr="001771BC">
        <w:t xml:space="preserve">(9), </w:t>
      </w:r>
      <w:r w:rsidR="006778FE">
        <w:t xml:space="preserve">1155–1163. </w:t>
      </w:r>
      <w:hyperlink r:id="rId13" w:history="1">
        <w:r w:rsidR="006778FE" w:rsidRPr="008F34A6">
          <w:rPr>
            <w:rStyle w:val="Hyperlink"/>
          </w:rPr>
          <w:t>https://doi.org/10.1177/1359105320937053</w:t>
        </w:r>
      </w:hyperlink>
    </w:p>
    <w:p w14:paraId="0AF2855F" w14:textId="65B7F95A" w:rsidR="00EA37CD" w:rsidRPr="001771BC" w:rsidRDefault="00EB275E" w:rsidP="004A249C">
      <w:r w:rsidRPr="001771BC">
        <w:t>This paper explores the concept of mental health literacy within the broader construct of health literacy</w:t>
      </w:r>
      <w:r w:rsidR="001A7426">
        <w:t>,</w:t>
      </w:r>
      <w:r w:rsidRPr="001771BC">
        <w:t xml:space="preserve"> noting that both are evolving constructs of relevance to health outcomes</w:t>
      </w:r>
      <w:r w:rsidR="001A7426">
        <w:t>,</w:t>
      </w:r>
      <w:r w:rsidRPr="001771BC">
        <w:t xml:space="preserve"> including mental health:</w:t>
      </w:r>
    </w:p>
    <w:p w14:paraId="55F3BA58" w14:textId="6FF0E400" w:rsidR="00EA37CD" w:rsidRPr="001771BC" w:rsidRDefault="00EB275E" w:rsidP="004A249C">
      <w:pPr>
        <w:ind w:left="432"/>
      </w:pPr>
      <w:r w:rsidRPr="001771BC">
        <w:t>Kutcher et al. (2016)</w:t>
      </w:r>
      <w:r w:rsidR="00DA153F">
        <w:t>.</w:t>
      </w:r>
      <w:r w:rsidRPr="001771BC">
        <w:t xml:space="preserve"> Mental </w:t>
      </w:r>
      <w:r w:rsidR="00033750">
        <w:t>h</w:t>
      </w:r>
      <w:r w:rsidRPr="001771BC">
        <w:t xml:space="preserve">ealth </w:t>
      </w:r>
      <w:r w:rsidR="00033750">
        <w:t>l</w:t>
      </w:r>
      <w:r w:rsidRPr="001771BC">
        <w:t xml:space="preserve">iteracy: Past, </w:t>
      </w:r>
      <w:r w:rsidR="00033750">
        <w:t>p</w:t>
      </w:r>
      <w:r w:rsidRPr="001771BC">
        <w:t xml:space="preserve">resent, and </w:t>
      </w:r>
      <w:r w:rsidR="00033750">
        <w:t>f</w:t>
      </w:r>
      <w:r w:rsidRPr="001771BC">
        <w:t xml:space="preserve">uture. </w:t>
      </w:r>
      <w:r w:rsidR="00A81DA8" w:rsidRPr="001771BC">
        <w:rPr>
          <w:i/>
        </w:rPr>
        <w:t xml:space="preserve">The Canadian Journal of Psychiatry, </w:t>
      </w:r>
      <w:r w:rsidRPr="006778FE">
        <w:rPr>
          <w:i/>
          <w:iCs/>
        </w:rPr>
        <w:t>61</w:t>
      </w:r>
      <w:r w:rsidRPr="001771BC">
        <w:t>(3),</w:t>
      </w:r>
      <w:r w:rsidR="00A20F78">
        <w:t xml:space="preserve"> 154–168. </w:t>
      </w:r>
      <w:hyperlink r:id="rId14" w:history="1">
        <w:r w:rsidRPr="001771BC">
          <w:rPr>
            <w:rStyle w:val="Hyperlink"/>
          </w:rPr>
          <w:t>https://doi.org/10.1177/0706742715616609</w:t>
        </w:r>
      </w:hyperlink>
    </w:p>
    <w:p w14:paraId="05D6ACA8" w14:textId="49AE1D0B" w:rsidR="00EA37CD" w:rsidRPr="001771BC" w:rsidRDefault="00A81DA8" w:rsidP="001202B1">
      <w:pPr>
        <w:pStyle w:val="Heading2"/>
      </w:pPr>
      <w:r w:rsidRPr="001771BC">
        <w:t>Chapter 4</w:t>
      </w:r>
      <w:r w:rsidR="00FA28D3" w:rsidRPr="001771BC">
        <w:t>:</w:t>
      </w:r>
      <w:r w:rsidRPr="001771BC">
        <w:t xml:space="preserve"> </w:t>
      </w:r>
      <w:r w:rsidR="001771BC" w:rsidRPr="001771BC">
        <w:t>Health promotion planning</w:t>
      </w:r>
      <w:r w:rsidR="001A7426">
        <w:t>—</w:t>
      </w:r>
      <w:r w:rsidR="001771BC" w:rsidRPr="001771BC">
        <w:t>a strategic approach</w:t>
      </w:r>
      <w:r w:rsidR="001771BC" w:rsidRPr="001771BC" w:rsidDel="001771BC">
        <w:t xml:space="preserve"> </w:t>
      </w:r>
    </w:p>
    <w:p w14:paraId="7DE82D2C" w14:textId="6A762C44" w:rsidR="00EA37CD" w:rsidRPr="001771BC" w:rsidRDefault="00EB275E" w:rsidP="004A249C">
      <w:pPr>
        <w:ind w:left="432"/>
      </w:pPr>
      <w:r w:rsidRPr="001771BC">
        <w:t>Sharp, P. et al. (2018)</w:t>
      </w:r>
      <w:r w:rsidR="00DA153F">
        <w:t>.</w:t>
      </w:r>
      <w:r w:rsidRPr="001771BC">
        <w:t xml:space="preserve"> Men</w:t>
      </w:r>
      <w:r w:rsidR="002D4CB7">
        <w:t>’</w:t>
      </w:r>
      <w:r w:rsidRPr="001771BC">
        <w:t xml:space="preserve">s </w:t>
      </w:r>
      <w:r w:rsidR="00033750">
        <w:t>p</w:t>
      </w:r>
      <w:r w:rsidRPr="001771BC">
        <w:t xml:space="preserve">erspectives of a </w:t>
      </w:r>
      <w:r w:rsidR="00033750">
        <w:t>g</w:t>
      </w:r>
      <w:r w:rsidRPr="001771BC">
        <w:t>ender-</w:t>
      </w:r>
      <w:r w:rsidR="00033750">
        <w:t>s</w:t>
      </w:r>
      <w:r w:rsidRPr="001771BC">
        <w:t xml:space="preserve">ensitized </w:t>
      </w:r>
      <w:r w:rsidR="00033750">
        <w:t>h</w:t>
      </w:r>
      <w:r w:rsidRPr="001771BC">
        <w:t xml:space="preserve">ealth </w:t>
      </w:r>
      <w:r w:rsidR="00033750">
        <w:t>p</w:t>
      </w:r>
      <w:r w:rsidRPr="001771BC">
        <w:t xml:space="preserve">romotion </w:t>
      </w:r>
      <w:r w:rsidR="00033750">
        <w:t>p</w:t>
      </w:r>
      <w:r w:rsidRPr="001771BC">
        <w:t xml:space="preserve">rogram </w:t>
      </w:r>
      <w:r w:rsidR="00033750">
        <w:t>t</w:t>
      </w:r>
      <w:r w:rsidRPr="001771BC">
        <w:t xml:space="preserve">argeting </w:t>
      </w:r>
      <w:r w:rsidR="00033750">
        <w:t>h</w:t>
      </w:r>
      <w:r w:rsidRPr="001771BC">
        <w:t xml:space="preserve">ealthy </w:t>
      </w:r>
      <w:r w:rsidR="00033750">
        <w:t>e</w:t>
      </w:r>
      <w:r w:rsidRPr="001771BC">
        <w:t xml:space="preserve">ating, </w:t>
      </w:r>
      <w:r w:rsidR="00033750">
        <w:t>a</w:t>
      </w:r>
      <w:r w:rsidRPr="001771BC">
        <w:t xml:space="preserve">ctive </w:t>
      </w:r>
      <w:r w:rsidR="00033750">
        <w:t>l</w:t>
      </w:r>
      <w:r w:rsidRPr="001771BC">
        <w:t xml:space="preserve">iving, and </w:t>
      </w:r>
      <w:r w:rsidR="00033750">
        <w:t>s</w:t>
      </w:r>
      <w:r w:rsidRPr="001771BC">
        <w:t xml:space="preserve">ocial </w:t>
      </w:r>
      <w:r w:rsidR="00033750">
        <w:t>c</w:t>
      </w:r>
      <w:r w:rsidRPr="001771BC">
        <w:t xml:space="preserve">onnectedness. </w:t>
      </w:r>
      <w:r w:rsidR="00A81DA8" w:rsidRPr="001771BC">
        <w:rPr>
          <w:i/>
        </w:rPr>
        <w:t>American Journal of Men</w:t>
      </w:r>
      <w:r w:rsidR="002D4CB7">
        <w:rPr>
          <w:i/>
        </w:rPr>
        <w:t>’</w:t>
      </w:r>
      <w:r w:rsidR="00A81DA8" w:rsidRPr="001771BC">
        <w:rPr>
          <w:i/>
        </w:rPr>
        <w:t>s Health,</w:t>
      </w:r>
      <w:r w:rsidR="00A20F78">
        <w:rPr>
          <w:i/>
        </w:rPr>
        <w:t xml:space="preserve"> 12</w:t>
      </w:r>
      <w:r w:rsidR="00A20F78">
        <w:rPr>
          <w:iCs/>
        </w:rPr>
        <w:t>(6), 2157–2166.</w:t>
      </w:r>
      <w:r w:rsidR="00A81DA8" w:rsidRPr="001771BC">
        <w:rPr>
          <w:i/>
        </w:rPr>
        <w:t xml:space="preserve"> </w:t>
      </w:r>
      <w:hyperlink r:id="rId15" w:history="1">
        <w:r w:rsidRPr="001771BC">
          <w:rPr>
            <w:rStyle w:val="Hyperlink"/>
          </w:rPr>
          <w:t>https://doi.org/10.1177/1557988318799159</w:t>
        </w:r>
      </w:hyperlink>
    </w:p>
    <w:p w14:paraId="06418956" w14:textId="522CB20A" w:rsidR="00E73786" w:rsidRDefault="00E73786" w:rsidP="00E73786">
      <w:r w:rsidRPr="00E73786">
        <w:t xml:space="preserve">Using a theoretical and literature review approach, this paper focuses on the socio-ecological and ethical implications of the Precede-Proceed model and concludes that the model has </w:t>
      </w:r>
      <w:proofErr w:type="gramStart"/>
      <w:r w:rsidRPr="00E73786">
        <w:t>a number of</w:t>
      </w:r>
      <w:proofErr w:type="gramEnd"/>
      <w:r w:rsidRPr="00E73786">
        <w:t xml:space="preserve"> potentials in promoting health</w:t>
      </w:r>
      <w:r>
        <w:t>:</w:t>
      </w:r>
    </w:p>
    <w:p w14:paraId="4E5D78B9" w14:textId="1DC234DB" w:rsidR="00EA37CD" w:rsidRPr="001771BC" w:rsidRDefault="00EB275E" w:rsidP="004A249C">
      <w:pPr>
        <w:ind w:left="432"/>
      </w:pPr>
      <w:r w:rsidRPr="001771BC">
        <w:t>Porter, C. (2015)</w:t>
      </w:r>
      <w:r w:rsidR="00DA153F">
        <w:t>.</w:t>
      </w:r>
      <w:r w:rsidRPr="001771BC">
        <w:t xml:space="preserve"> Revisiting </w:t>
      </w:r>
      <w:r w:rsidR="00033750">
        <w:t>p</w:t>
      </w:r>
      <w:r w:rsidRPr="001771BC">
        <w:t>recede-</w:t>
      </w:r>
      <w:r w:rsidR="00033750">
        <w:t>p</w:t>
      </w:r>
      <w:r w:rsidRPr="001771BC">
        <w:t xml:space="preserve">roceed: A leading model for ecological and ethical health promotion. </w:t>
      </w:r>
      <w:r w:rsidR="00A81DA8" w:rsidRPr="001771BC">
        <w:rPr>
          <w:i/>
        </w:rPr>
        <w:t xml:space="preserve">Health Education Journal, </w:t>
      </w:r>
      <w:r w:rsidRPr="006778FE">
        <w:rPr>
          <w:i/>
          <w:iCs/>
        </w:rPr>
        <w:t>57</w:t>
      </w:r>
      <w:r w:rsidRPr="001771BC">
        <w:t>(6)</w:t>
      </w:r>
      <w:r w:rsidR="00DA153F">
        <w:t>,</w:t>
      </w:r>
      <w:r w:rsidRPr="001771BC">
        <w:t xml:space="preserve"> 753</w:t>
      </w:r>
      <w:r w:rsidR="00DA153F" w:rsidRPr="00DA153F">
        <w:t>–</w:t>
      </w:r>
      <w:r w:rsidRPr="001771BC">
        <w:t>764.</w:t>
      </w:r>
    </w:p>
    <w:p w14:paraId="659B5B9A" w14:textId="2D3464FE" w:rsidR="00E73786" w:rsidRDefault="00E73786" w:rsidP="00E73786">
      <w:r w:rsidRPr="00E73786">
        <w:t xml:space="preserve">This paper explores and identifies the factors within partnerships that influence trust and mistrust. The study found that power, </w:t>
      </w:r>
      <w:proofErr w:type="gramStart"/>
      <w:r w:rsidRPr="00E73786">
        <w:t>leadership</w:t>
      </w:r>
      <w:proofErr w:type="gramEnd"/>
      <w:r w:rsidRPr="00E73786">
        <w:t xml:space="preserve"> and efficiency were the most important factors influencing partnership mistrust. It concludes power sharing in partnerships is very important.</w:t>
      </w:r>
    </w:p>
    <w:p w14:paraId="6CA3A2E8" w14:textId="10D1AD7B" w:rsidR="00EA37CD" w:rsidRPr="001771BC" w:rsidRDefault="00EB275E" w:rsidP="004A249C">
      <w:pPr>
        <w:ind w:left="432"/>
      </w:pPr>
      <w:r w:rsidRPr="001771BC">
        <w:t>Jones, J. and Barry, M. (2018)</w:t>
      </w:r>
      <w:r w:rsidR="00DA153F">
        <w:t>.</w:t>
      </w:r>
      <w:r w:rsidRPr="001771BC">
        <w:t xml:space="preserve"> Factors influencing trust and mistrust in health promotion partnerships. </w:t>
      </w:r>
      <w:r w:rsidR="00A81DA8" w:rsidRPr="001771BC">
        <w:rPr>
          <w:i/>
        </w:rPr>
        <w:t>Global Health Promotion,</w:t>
      </w:r>
      <w:r w:rsidR="00A20F78">
        <w:rPr>
          <w:i/>
        </w:rPr>
        <w:t xml:space="preserve"> 25</w:t>
      </w:r>
      <w:r w:rsidR="00A20F78">
        <w:rPr>
          <w:iCs/>
        </w:rPr>
        <w:t>(2), 16–24.</w:t>
      </w:r>
      <w:r w:rsidR="00A81DA8" w:rsidRPr="001771BC">
        <w:rPr>
          <w:i/>
        </w:rPr>
        <w:t xml:space="preserve"> </w:t>
      </w:r>
      <w:hyperlink r:id="rId16" w:history="1">
        <w:r w:rsidRPr="006778FE">
          <w:rPr>
            <w:rStyle w:val="Hyperlink"/>
          </w:rPr>
          <w:t>https://doi.org/10.1177/175797916656364</w:t>
        </w:r>
      </w:hyperlink>
    </w:p>
    <w:p w14:paraId="0869F20B" w14:textId="2D2669F1" w:rsidR="00EA37CD" w:rsidRPr="001771BC" w:rsidRDefault="00A81DA8" w:rsidP="001202B1">
      <w:pPr>
        <w:pStyle w:val="Heading2"/>
      </w:pPr>
      <w:r w:rsidRPr="001771BC">
        <w:lastRenderedPageBreak/>
        <w:t>Chapter 5</w:t>
      </w:r>
      <w:r w:rsidR="00FA28D3" w:rsidRPr="001771BC">
        <w:t>:</w:t>
      </w:r>
      <w:r w:rsidRPr="001771BC">
        <w:t xml:space="preserve"> Information </w:t>
      </w:r>
      <w:r w:rsidR="00C830A0" w:rsidRPr="001771BC">
        <w:t>needs</w:t>
      </w:r>
    </w:p>
    <w:p w14:paraId="72026383" w14:textId="0B57BDBD" w:rsidR="00EA37CD" w:rsidRPr="001771BC" w:rsidRDefault="00EB275E" w:rsidP="004A249C">
      <w:r w:rsidRPr="001771BC">
        <w:t>This paper highlights a rapid qualitative approach to understanding health needs during the C</w:t>
      </w:r>
      <w:r w:rsidR="000F770B">
        <w:t>OVID</w:t>
      </w:r>
      <w:r w:rsidRPr="001771BC">
        <w:t>-19 pandemic:</w:t>
      </w:r>
    </w:p>
    <w:p w14:paraId="7258501D" w14:textId="1D26D5F5" w:rsidR="00EA37CD" w:rsidRPr="001771BC" w:rsidRDefault="00EB275E" w:rsidP="004A249C">
      <w:pPr>
        <w:ind w:left="432"/>
      </w:pPr>
      <w:proofErr w:type="spellStart"/>
      <w:r w:rsidRPr="001771BC">
        <w:t>Vindrola-Padros</w:t>
      </w:r>
      <w:proofErr w:type="spellEnd"/>
      <w:r w:rsidRPr="001771BC">
        <w:t xml:space="preserve">, C., Chisnall, G., Cooper, S., Dowrick, A., Djellouli, N., Symmons, S.M., Martin, S., Singleton, G., </w:t>
      </w:r>
      <w:proofErr w:type="spellStart"/>
      <w:r w:rsidRPr="001771BC">
        <w:t>Vanderslott</w:t>
      </w:r>
      <w:proofErr w:type="spellEnd"/>
      <w:r w:rsidRPr="001771BC">
        <w:t xml:space="preserve">, S., Vera, </w:t>
      </w:r>
      <w:proofErr w:type="gramStart"/>
      <w:r w:rsidRPr="001771BC">
        <w:t>N.</w:t>
      </w:r>
      <w:proofErr w:type="gramEnd"/>
      <w:r w:rsidRPr="001771BC">
        <w:t xml:space="preserve"> </w:t>
      </w:r>
      <w:r w:rsidR="00220942">
        <w:t>and</w:t>
      </w:r>
      <w:r w:rsidRPr="001771BC">
        <w:t xml:space="preserve"> Johnson, G.A. (2020)</w:t>
      </w:r>
      <w:r w:rsidR="00DA153F">
        <w:t>.</w:t>
      </w:r>
      <w:r w:rsidRPr="001771BC">
        <w:t xml:space="preserve"> Carrying </w:t>
      </w:r>
      <w:r w:rsidR="00033750">
        <w:t>o</w:t>
      </w:r>
      <w:r w:rsidRPr="001771BC">
        <w:t xml:space="preserve">ut </w:t>
      </w:r>
      <w:r w:rsidR="00033750">
        <w:t>r</w:t>
      </w:r>
      <w:r w:rsidRPr="001771BC">
        <w:t xml:space="preserve">apid </w:t>
      </w:r>
      <w:r w:rsidR="00033750">
        <w:t>q</w:t>
      </w:r>
      <w:r w:rsidRPr="001771BC">
        <w:t xml:space="preserve">ualitative </w:t>
      </w:r>
      <w:r w:rsidR="00033750">
        <w:t>r</w:t>
      </w:r>
      <w:r w:rsidRPr="001771BC">
        <w:t xml:space="preserve">esearch </w:t>
      </w:r>
      <w:r w:rsidR="00033750">
        <w:t>d</w:t>
      </w:r>
      <w:r w:rsidRPr="001771BC">
        <w:t xml:space="preserve">uring a </w:t>
      </w:r>
      <w:r w:rsidR="00033750">
        <w:t>p</w:t>
      </w:r>
      <w:r w:rsidRPr="001771BC">
        <w:t xml:space="preserve">andemic: Emerging </w:t>
      </w:r>
      <w:r w:rsidR="00033750">
        <w:t>l</w:t>
      </w:r>
      <w:r w:rsidRPr="001771BC">
        <w:t xml:space="preserve">essons </w:t>
      </w:r>
      <w:r w:rsidR="00033750">
        <w:t>f</w:t>
      </w:r>
      <w:r w:rsidRPr="001771BC">
        <w:t xml:space="preserve">rom COVID-19. </w:t>
      </w:r>
      <w:r w:rsidR="00A81DA8" w:rsidRPr="001771BC">
        <w:rPr>
          <w:i/>
        </w:rPr>
        <w:t>Qualitative Health Research,</w:t>
      </w:r>
      <w:r w:rsidRPr="001771BC">
        <w:t xml:space="preserve"> </w:t>
      </w:r>
      <w:r w:rsidRPr="006778FE">
        <w:rPr>
          <w:i/>
          <w:iCs/>
        </w:rPr>
        <w:t>30</w:t>
      </w:r>
      <w:r w:rsidR="00A81DA8" w:rsidRPr="006778FE">
        <w:rPr>
          <w:bCs/>
        </w:rPr>
        <w:t>,</w:t>
      </w:r>
      <w:r w:rsidRPr="001771BC">
        <w:t xml:space="preserve"> 2192</w:t>
      </w:r>
      <w:r w:rsidR="00DA153F" w:rsidRPr="00DA153F">
        <w:t>–</w:t>
      </w:r>
      <w:r w:rsidRPr="001771BC">
        <w:t>2204.</w:t>
      </w:r>
    </w:p>
    <w:p w14:paraId="2B88A808" w14:textId="75EADFDB" w:rsidR="00EA37CD" w:rsidRPr="001771BC" w:rsidRDefault="00EB275E" w:rsidP="004A249C">
      <w:r w:rsidRPr="001771BC">
        <w:t>This paper sets out a position that an asset-</w:t>
      </w:r>
      <w:proofErr w:type="spellStart"/>
      <w:r w:rsidRPr="001771BC">
        <w:t>focussed</w:t>
      </w:r>
      <w:proofErr w:type="spellEnd"/>
      <w:r w:rsidRPr="001771BC">
        <w:t xml:space="preserve"> health needs assessment is applicable and offers utility in low-resource, developing countries. This </w:t>
      </w:r>
      <w:proofErr w:type="gramStart"/>
      <w:r w:rsidRPr="001771BC">
        <w:t>particular paper</w:t>
      </w:r>
      <w:proofErr w:type="gramEnd"/>
      <w:r w:rsidRPr="001771BC">
        <w:t xml:space="preserve"> is based on a rural </w:t>
      </w:r>
      <w:r w:rsidR="00975269">
        <w:t>N</w:t>
      </w:r>
      <w:r w:rsidRPr="001771BC">
        <w:t>orth India</w:t>
      </w:r>
      <w:r w:rsidR="00975269">
        <w:t>n</w:t>
      </w:r>
      <w:r w:rsidRPr="001771BC">
        <w:t xml:space="preserve"> community:</w:t>
      </w:r>
    </w:p>
    <w:p w14:paraId="6AF607E2" w14:textId="1E8074A9" w:rsidR="00EA37CD" w:rsidRPr="001771BC" w:rsidRDefault="00EB275E" w:rsidP="006778FE">
      <w:pPr>
        <w:ind w:left="432"/>
      </w:pPr>
      <w:r w:rsidRPr="006778FE">
        <w:t xml:space="preserve">Mathias, K.R., Mathias, J.M.P. </w:t>
      </w:r>
      <w:r w:rsidR="00220942" w:rsidRPr="006778FE">
        <w:t>and</w:t>
      </w:r>
      <w:r w:rsidRPr="006778FE">
        <w:t xml:space="preserve"> Hill, P.C. (2015). An asset-focused health needs assessment in a rural community in north India. </w:t>
      </w:r>
      <w:r w:rsidR="00A81DA8" w:rsidRPr="006778FE">
        <w:rPr>
          <w:i/>
        </w:rPr>
        <w:t>Asia Pacific Journal of Public Health</w:t>
      </w:r>
      <w:r w:rsidRPr="006778FE">
        <w:t xml:space="preserve">, </w:t>
      </w:r>
      <w:r w:rsidR="00A81DA8" w:rsidRPr="006778FE">
        <w:rPr>
          <w:i/>
        </w:rPr>
        <w:t>27</w:t>
      </w:r>
      <w:r w:rsidRPr="006778FE">
        <w:t>(2), 2623–2634</w:t>
      </w:r>
      <w:r w:rsidRPr="001771BC">
        <w:t>.</w:t>
      </w:r>
    </w:p>
    <w:p w14:paraId="42D7BBA5" w14:textId="060CD3CA" w:rsidR="00EA37CD" w:rsidRPr="001771BC" w:rsidRDefault="00EB275E" w:rsidP="004A249C">
      <w:r w:rsidRPr="001771BC">
        <w:t xml:space="preserve">Using novel approaches to access information from </w:t>
      </w:r>
      <w:r w:rsidR="00975269" w:rsidRPr="001771BC">
        <w:t>marginalized</w:t>
      </w:r>
      <w:r w:rsidRPr="001771BC">
        <w:t xml:space="preserve"> groups is an important strategy in health promotion.</w:t>
      </w:r>
      <w:r w:rsidR="002D4CB7">
        <w:t xml:space="preserve"> </w:t>
      </w:r>
      <w:r w:rsidR="00975269">
        <w:t>T</w:t>
      </w:r>
      <w:r w:rsidRPr="001771BC">
        <w:t>his paper exemplifies one approach:</w:t>
      </w:r>
    </w:p>
    <w:p w14:paraId="39ECEF75" w14:textId="51AB2CE0" w:rsidR="00E61671" w:rsidRPr="001771BC" w:rsidRDefault="00EB275E" w:rsidP="00E61671">
      <w:pPr>
        <w:ind w:left="432"/>
      </w:pPr>
      <w:r w:rsidRPr="001771BC">
        <w:t xml:space="preserve">Sun, C.J., Nall, J.L. </w:t>
      </w:r>
      <w:r w:rsidR="00220942">
        <w:t>and</w:t>
      </w:r>
      <w:r w:rsidRPr="001771BC">
        <w:t xml:space="preserve"> Rhodes, S.D. (2019) Perceptions of needs, assets, and priorities among black men who have sex with men with HIV: </w:t>
      </w:r>
      <w:r w:rsidR="00033750">
        <w:t>C</w:t>
      </w:r>
      <w:r w:rsidRPr="001771BC">
        <w:t xml:space="preserve">ommunity-driven actions and impacts of a participatory photovoice process. </w:t>
      </w:r>
      <w:r w:rsidR="00A81DA8" w:rsidRPr="001771BC">
        <w:rPr>
          <w:i/>
        </w:rPr>
        <w:t>American Journal of Men</w:t>
      </w:r>
      <w:r w:rsidR="002D4CB7">
        <w:rPr>
          <w:i/>
        </w:rPr>
        <w:t>’</w:t>
      </w:r>
      <w:r w:rsidR="00A81DA8" w:rsidRPr="001771BC">
        <w:rPr>
          <w:i/>
        </w:rPr>
        <w:t>s Health,</w:t>
      </w:r>
      <w:r w:rsidRPr="001771BC">
        <w:t xml:space="preserve"> </w:t>
      </w:r>
      <w:r w:rsidRPr="006778FE">
        <w:rPr>
          <w:i/>
          <w:iCs/>
        </w:rPr>
        <w:t>13</w:t>
      </w:r>
      <w:r w:rsidR="00E61671">
        <w:t xml:space="preserve"> (1), </w:t>
      </w:r>
      <w:r w:rsidR="00E61671" w:rsidRPr="00E61671">
        <w:t>1557988318804901</w:t>
      </w:r>
      <w:r w:rsidR="00E61671">
        <w:t>.</w:t>
      </w:r>
      <w:r w:rsidRPr="001771BC">
        <w:t xml:space="preserve"> </w:t>
      </w:r>
      <w:proofErr w:type="spellStart"/>
      <w:r w:rsidRPr="001771BC">
        <w:t>doi</w:t>
      </w:r>
      <w:proofErr w:type="spellEnd"/>
      <w:r w:rsidRPr="001771BC">
        <w:t>: 10.1177/1557988318804901.</w:t>
      </w:r>
    </w:p>
    <w:p w14:paraId="3D73AB7F" w14:textId="1AD7F619" w:rsidR="00EA37CD" w:rsidRPr="001771BC" w:rsidRDefault="00A81DA8" w:rsidP="001202B1">
      <w:pPr>
        <w:pStyle w:val="Heading2"/>
      </w:pPr>
      <w:r w:rsidRPr="001771BC">
        <w:t>Chapter 6</w:t>
      </w:r>
      <w:r w:rsidR="00FA28D3" w:rsidRPr="001771BC">
        <w:t>:</w:t>
      </w:r>
      <w:r w:rsidRPr="001771BC">
        <w:t xml:space="preserve"> </w:t>
      </w:r>
      <w:r w:rsidR="001771BC" w:rsidRPr="001771BC">
        <w:t>Health public policy</w:t>
      </w:r>
    </w:p>
    <w:p w14:paraId="6C7F3A01" w14:textId="54451C6F" w:rsidR="00EA37CD" w:rsidRPr="001771BC" w:rsidRDefault="00EB275E" w:rsidP="004A249C">
      <w:r w:rsidRPr="001771BC">
        <w:t>This paper is built on the premise that public health professionals often lack experience in policy advocacy. The paper draws useful recommendations for career development of professionals and diversification of the workforce:</w:t>
      </w:r>
    </w:p>
    <w:p w14:paraId="4604A745" w14:textId="3336A953" w:rsidR="00EA37CD" w:rsidRPr="001771BC" w:rsidRDefault="00EB275E" w:rsidP="004A249C">
      <w:pPr>
        <w:ind w:left="432"/>
      </w:pPr>
      <w:r w:rsidRPr="00E61671">
        <w:t xml:space="preserve">Garcia, L.B., Hernandez, K.E. </w:t>
      </w:r>
      <w:r w:rsidR="00220942" w:rsidRPr="00E61671">
        <w:t>and</w:t>
      </w:r>
      <w:r w:rsidRPr="00E61671">
        <w:t xml:space="preserve"> Mata, H. (2015). Professional development through policy advocacy: communicating and advocating for health and health equity. </w:t>
      </w:r>
      <w:r w:rsidR="00A81DA8" w:rsidRPr="00E61671">
        <w:rPr>
          <w:i/>
        </w:rPr>
        <w:t>Health Promotion Practice</w:t>
      </w:r>
      <w:r w:rsidRPr="00E61671">
        <w:t xml:space="preserve">, </w:t>
      </w:r>
      <w:r w:rsidR="00A81DA8" w:rsidRPr="00E61671">
        <w:rPr>
          <w:i/>
        </w:rPr>
        <w:t>16</w:t>
      </w:r>
      <w:r w:rsidRPr="00E61671">
        <w:t>(2), 162–165</w:t>
      </w:r>
      <w:r w:rsidRPr="001771BC">
        <w:t>.</w:t>
      </w:r>
    </w:p>
    <w:p w14:paraId="62FF23DC" w14:textId="77777777" w:rsidR="00EA37CD" w:rsidRPr="001771BC" w:rsidRDefault="00EB275E" w:rsidP="004A249C">
      <w:r w:rsidRPr="001771BC">
        <w:t>A modern perspective on the volatile, uncertain, complex, and ambiguous (VUCA) environments we currently live in is outlined in this contribution:</w:t>
      </w:r>
    </w:p>
    <w:p w14:paraId="7FCCE6AB" w14:textId="7CD4746F" w:rsidR="00EA37CD" w:rsidRPr="001771BC" w:rsidRDefault="00EB275E" w:rsidP="004A249C">
      <w:pPr>
        <w:ind w:left="432"/>
      </w:pPr>
      <w:r w:rsidRPr="001771BC">
        <w:lastRenderedPageBreak/>
        <w:t xml:space="preserve">Worley, C.G. </w:t>
      </w:r>
      <w:r w:rsidR="00220942">
        <w:t>and</w:t>
      </w:r>
      <w:r w:rsidRPr="001771BC">
        <w:t xml:space="preserve"> Jules, C. (2020)</w:t>
      </w:r>
      <w:r w:rsidR="00033750">
        <w:t>.</w:t>
      </w:r>
      <w:r w:rsidRPr="001771BC">
        <w:t xml:space="preserve"> COVID-19</w:t>
      </w:r>
      <w:r w:rsidR="002D4CB7">
        <w:t>’</w:t>
      </w:r>
      <w:r w:rsidRPr="001771BC">
        <w:t xml:space="preserve">s Uncomfortable Revelations About Agile and Sustainable Organizations in a VUCA World. </w:t>
      </w:r>
      <w:r w:rsidR="00A81DA8" w:rsidRPr="001771BC">
        <w:rPr>
          <w:i/>
        </w:rPr>
        <w:t>The Journal of Applied Behavioral Science,</w:t>
      </w:r>
      <w:r w:rsidRPr="001771BC">
        <w:t xml:space="preserve"> </w:t>
      </w:r>
      <w:r w:rsidRPr="006778FE">
        <w:rPr>
          <w:i/>
          <w:iCs/>
        </w:rPr>
        <w:t>56</w:t>
      </w:r>
      <w:r w:rsidR="00A81DA8" w:rsidRPr="006778FE">
        <w:rPr>
          <w:bCs/>
        </w:rPr>
        <w:t>,</w:t>
      </w:r>
      <w:r w:rsidRPr="001771BC">
        <w:t xml:space="preserve"> 279</w:t>
      </w:r>
      <w:r w:rsidR="00033750" w:rsidRPr="00033750">
        <w:t>–</w:t>
      </w:r>
      <w:r w:rsidRPr="001771BC">
        <w:t>283.</w:t>
      </w:r>
    </w:p>
    <w:p w14:paraId="691D5417" w14:textId="77777777" w:rsidR="00EA37CD" w:rsidRPr="001771BC" w:rsidRDefault="00EB275E" w:rsidP="004A249C">
      <w:r w:rsidRPr="001771BC">
        <w:t>The article is based on a review of relevant literature based on health impact assessment developments in Sweden. It outlines a series of barriers and facilitators that have impacted on the development of health impact assessment.</w:t>
      </w:r>
    </w:p>
    <w:p w14:paraId="39B6F8C8" w14:textId="599232D8" w:rsidR="00EA37CD" w:rsidRPr="001771BC" w:rsidRDefault="00EB275E" w:rsidP="004A249C">
      <w:pPr>
        <w:ind w:left="432"/>
      </w:pPr>
      <w:r w:rsidRPr="00E61671">
        <w:t xml:space="preserve">Knutsson, I. </w:t>
      </w:r>
      <w:r w:rsidR="00220942" w:rsidRPr="00E61671">
        <w:t>and</w:t>
      </w:r>
      <w:r w:rsidRPr="00E61671">
        <w:t xml:space="preserve"> Linell, A. (2010). Review article: Health impact assessment developments in Sweden. </w:t>
      </w:r>
      <w:r w:rsidR="00A81DA8" w:rsidRPr="00E61671">
        <w:rPr>
          <w:i/>
        </w:rPr>
        <w:t>Scandinavian Journal of Public Health</w:t>
      </w:r>
      <w:r w:rsidRPr="00E61671">
        <w:t xml:space="preserve">, </w:t>
      </w:r>
      <w:r w:rsidR="00A81DA8" w:rsidRPr="00E61671">
        <w:rPr>
          <w:i/>
        </w:rPr>
        <w:t>38</w:t>
      </w:r>
      <w:r w:rsidRPr="00E61671">
        <w:t>(2), 115–120</w:t>
      </w:r>
      <w:r w:rsidRPr="001771BC">
        <w:t>.</w:t>
      </w:r>
    </w:p>
    <w:p w14:paraId="3FFFF9D0" w14:textId="18DD2461" w:rsidR="00EA37CD" w:rsidRPr="001771BC" w:rsidRDefault="00A81DA8" w:rsidP="001202B1">
      <w:pPr>
        <w:pStyle w:val="Heading2"/>
      </w:pPr>
      <w:r w:rsidRPr="001771BC">
        <w:t>Chapter 7</w:t>
      </w:r>
      <w:r w:rsidR="00FA28D3" w:rsidRPr="001771BC">
        <w:t>:</w:t>
      </w:r>
      <w:r w:rsidRPr="001771BC">
        <w:t xml:space="preserve"> Education for </w:t>
      </w:r>
      <w:r w:rsidR="00C830A0" w:rsidRPr="001771BC">
        <w:t>health</w:t>
      </w:r>
    </w:p>
    <w:p w14:paraId="4F5345B7" w14:textId="1769AB7C" w:rsidR="00E73786" w:rsidRDefault="00E73786" w:rsidP="00E73786">
      <w:r w:rsidRPr="00E73786">
        <w:t xml:space="preserve">Peer education is often used for health education, particularly with youth and </w:t>
      </w:r>
      <w:proofErr w:type="spellStart"/>
      <w:r w:rsidRPr="00E73786">
        <w:t>marginalised</w:t>
      </w:r>
      <w:proofErr w:type="spellEnd"/>
      <w:r w:rsidRPr="00E73786">
        <w:t xml:space="preserve"> groups. This paper interrogates this much-used approach using </w:t>
      </w:r>
      <w:proofErr w:type="gramStart"/>
      <w:r w:rsidRPr="00E73786">
        <w:t>a number of</w:t>
      </w:r>
      <w:proofErr w:type="gramEnd"/>
      <w:r w:rsidRPr="00E73786">
        <w:t xml:space="preserve"> different pedagogical frameworks as an analytical lens to do so.</w:t>
      </w:r>
    </w:p>
    <w:p w14:paraId="4F99AE49" w14:textId="0553FC7E" w:rsidR="00EA37CD" w:rsidRPr="001771BC" w:rsidRDefault="00EB275E" w:rsidP="004A249C">
      <w:pPr>
        <w:ind w:left="432"/>
      </w:pPr>
      <w:r w:rsidRPr="001771BC">
        <w:t xml:space="preserve">Southgate, E. and </w:t>
      </w:r>
      <w:proofErr w:type="spellStart"/>
      <w:r w:rsidRPr="001771BC">
        <w:t>Aggleton</w:t>
      </w:r>
      <w:proofErr w:type="spellEnd"/>
      <w:r w:rsidRPr="001771BC">
        <w:t>, P. (2017)</w:t>
      </w:r>
      <w:r w:rsidR="00033750">
        <w:t>.</w:t>
      </w:r>
      <w:r w:rsidRPr="001771BC">
        <w:t xml:space="preserve"> Peer education: From enduring problematics to pedagogical potential. </w:t>
      </w:r>
      <w:r w:rsidR="00A81DA8" w:rsidRPr="001771BC">
        <w:rPr>
          <w:i/>
        </w:rPr>
        <w:t xml:space="preserve">Health Education Journal, </w:t>
      </w:r>
      <w:r w:rsidRPr="006778FE">
        <w:rPr>
          <w:i/>
          <w:iCs/>
        </w:rPr>
        <w:t>76</w:t>
      </w:r>
      <w:r w:rsidRPr="001771BC">
        <w:t>(1)</w:t>
      </w:r>
      <w:r w:rsidR="00DA153F">
        <w:t>,</w:t>
      </w:r>
      <w:r w:rsidRPr="001771BC">
        <w:t xml:space="preserve"> 3</w:t>
      </w:r>
      <w:r w:rsidR="00033750" w:rsidRPr="00033750">
        <w:t>–</w:t>
      </w:r>
      <w:r w:rsidRPr="001771BC">
        <w:t>14.</w:t>
      </w:r>
    </w:p>
    <w:p w14:paraId="4105E4AA" w14:textId="6C372CAF" w:rsidR="00EA37CD" w:rsidRPr="001771BC" w:rsidRDefault="00EB275E" w:rsidP="004A249C">
      <w:r w:rsidRPr="001771BC">
        <w:t xml:space="preserve">This paper examines the benefits of creating and performing ensemble-created plays </w:t>
      </w:r>
      <w:r w:rsidR="00AB398E">
        <w:t>f</w:t>
      </w:r>
      <w:r w:rsidRPr="001771BC">
        <w:t>o</w:t>
      </w:r>
      <w:r w:rsidR="00AB398E">
        <w:t>r</w:t>
      </w:r>
      <w:r w:rsidRPr="001771BC">
        <w:t xml:space="preserve"> older adults</w:t>
      </w:r>
      <w:r w:rsidR="002D4CB7">
        <w:t>’</w:t>
      </w:r>
      <w:r w:rsidRPr="001771BC">
        <w:t xml:space="preserve"> and university students</w:t>
      </w:r>
      <w:r w:rsidR="002D4CB7">
        <w:t>’</w:t>
      </w:r>
      <w:r w:rsidRPr="001771BC">
        <w:t xml:space="preserve"> well</w:t>
      </w:r>
      <w:r w:rsidR="003E6E62">
        <w:t>-</w:t>
      </w:r>
      <w:r w:rsidRPr="001771BC">
        <w:t>being.</w:t>
      </w:r>
      <w:r w:rsidR="002D4CB7">
        <w:t xml:space="preserve"> </w:t>
      </w:r>
      <w:r w:rsidRPr="001771BC">
        <w:t>It also examines the key process</w:t>
      </w:r>
      <w:r w:rsidR="00AB398E">
        <w:t>es</w:t>
      </w:r>
      <w:r w:rsidRPr="001771BC">
        <w:t xml:space="preserve"> that promote well-being within the context of this intergenerational program:</w:t>
      </w:r>
    </w:p>
    <w:p w14:paraId="2AF9EE65" w14:textId="6DB9D0B3" w:rsidR="00EA37CD" w:rsidRPr="001771BC" w:rsidRDefault="00EB275E" w:rsidP="004A249C">
      <w:pPr>
        <w:ind w:left="432"/>
      </w:pPr>
      <w:r w:rsidRPr="001771BC">
        <w:t>Anderson, S. et al. (2017)</w:t>
      </w:r>
      <w:r w:rsidR="00033750">
        <w:t>.</w:t>
      </w:r>
      <w:r w:rsidRPr="001771BC">
        <w:t xml:space="preserve"> Translating </w:t>
      </w:r>
      <w:r w:rsidR="00033750">
        <w:t>k</w:t>
      </w:r>
      <w:r w:rsidRPr="001771BC">
        <w:t xml:space="preserve">nowledge: Promoting </w:t>
      </w:r>
      <w:r w:rsidR="00033750">
        <w:t>h</w:t>
      </w:r>
      <w:r w:rsidRPr="001771BC">
        <w:t xml:space="preserve">ealth </w:t>
      </w:r>
      <w:r w:rsidR="00033750">
        <w:t>t</w:t>
      </w:r>
      <w:r w:rsidRPr="001771BC">
        <w:t xml:space="preserve">hrough </w:t>
      </w:r>
      <w:r w:rsidR="00033750">
        <w:t>i</w:t>
      </w:r>
      <w:r w:rsidRPr="001771BC">
        <w:t xml:space="preserve">ntergenerational </w:t>
      </w:r>
      <w:r w:rsidR="00033750">
        <w:t>c</w:t>
      </w:r>
      <w:r w:rsidRPr="001771BC">
        <w:t xml:space="preserve">ommunity </w:t>
      </w:r>
      <w:r w:rsidR="00033750">
        <w:t>a</w:t>
      </w:r>
      <w:r w:rsidRPr="001771BC">
        <w:t xml:space="preserve">rts </w:t>
      </w:r>
      <w:r w:rsidR="00033750">
        <w:t>p</w:t>
      </w:r>
      <w:r w:rsidRPr="001771BC">
        <w:t xml:space="preserve">rogramming. </w:t>
      </w:r>
      <w:r w:rsidR="00A81DA8" w:rsidRPr="001771BC">
        <w:rPr>
          <w:i/>
        </w:rPr>
        <w:t xml:space="preserve">Health Promotion Practice, </w:t>
      </w:r>
      <w:r w:rsidRPr="006778FE">
        <w:rPr>
          <w:i/>
          <w:iCs/>
        </w:rPr>
        <w:t>18</w:t>
      </w:r>
      <w:r w:rsidRPr="001771BC">
        <w:t xml:space="preserve">(1), </w:t>
      </w:r>
      <w:r w:rsidR="00E61671">
        <w:t xml:space="preserve">15–25. </w:t>
      </w:r>
      <w:hyperlink r:id="rId17" w:history="1">
        <w:r w:rsidR="00E61671" w:rsidRPr="008F34A6">
          <w:rPr>
            <w:rStyle w:val="Hyperlink"/>
          </w:rPr>
          <w:t>https://doi.org/10.1177/1524839915625037</w:t>
        </w:r>
      </w:hyperlink>
    </w:p>
    <w:p w14:paraId="6D588319" w14:textId="6E326E21" w:rsidR="00EA37CD" w:rsidRPr="001771BC" w:rsidRDefault="00EB275E" w:rsidP="004A249C">
      <w:r w:rsidRPr="001771BC">
        <w:t xml:space="preserve">Fear appeals (scare tactics) have long been </w:t>
      </w:r>
      <w:r w:rsidR="00AB398E" w:rsidRPr="001771BC">
        <w:t>utilized</w:t>
      </w:r>
      <w:r w:rsidRPr="001771BC">
        <w:t xml:space="preserve"> in health communication campaigns.</w:t>
      </w:r>
      <w:r w:rsidR="002D4CB7">
        <w:t xml:space="preserve"> </w:t>
      </w:r>
      <w:r w:rsidRPr="001771BC">
        <w:t>This paper examines the reasons for not using fear appeals in communication about COVID-19 and offer</w:t>
      </w:r>
      <w:r w:rsidR="00AB398E">
        <w:t>s</w:t>
      </w:r>
      <w:r w:rsidRPr="001771BC">
        <w:t xml:space="preserve"> an alternative approach to creating health communication messages during cris</w:t>
      </w:r>
      <w:r w:rsidR="00AB398E">
        <w:t>e</w:t>
      </w:r>
      <w:r w:rsidRPr="001771BC">
        <w:t>s:</w:t>
      </w:r>
    </w:p>
    <w:p w14:paraId="5A449CB7" w14:textId="44AE0C73" w:rsidR="00EA37CD" w:rsidRPr="001771BC" w:rsidRDefault="00EB275E" w:rsidP="004A249C">
      <w:pPr>
        <w:ind w:left="432"/>
      </w:pPr>
      <w:proofErr w:type="spellStart"/>
      <w:r w:rsidRPr="001771BC">
        <w:t>Stolow</w:t>
      </w:r>
      <w:proofErr w:type="spellEnd"/>
      <w:r w:rsidRPr="001771BC">
        <w:t>, J. et al. (2020)</w:t>
      </w:r>
      <w:r w:rsidR="00033750">
        <w:t>.</w:t>
      </w:r>
      <w:r w:rsidRPr="001771BC">
        <w:t xml:space="preserve"> How </w:t>
      </w:r>
      <w:r w:rsidR="00033750">
        <w:t>f</w:t>
      </w:r>
      <w:r w:rsidRPr="001771BC">
        <w:t xml:space="preserve">ear </w:t>
      </w:r>
      <w:r w:rsidR="00033750">
        <w:t>a</w:t>
      </w:r>
      <w:r w:rsidRPr="001771BC">
        <w:t xml:space="preserve">ppeal </w:t>
      </w:r>
      <w:r w:rsidR="00033750">
        <w:t>a</w:t>
      </w:r>
      <w:r w:rsidRPr="001771BC">
        <w:t xml:space="preserve">pproaches in COVID-19 </w:t>
      </w:r>
      <w:r w:rsidR="00033750">
        <w:t>h</w:t>
      </w:r>
      <w:r w:rsidRPr="001771BC">
        <w:t xml:space="preserve">ealth </w:t>
      </w:r>
      <w:r w:rsidR="00033750">
        <w:t>c</w:t>
      </w:r>
      <w:r w:rsidRPr="001771BC">
        <w:t xml:space="preserve">ommunication </w:t>
      </w:r>
      <w:r w:rsidR="00033750">
        <w:t>m</w:t>
      </w:r>
      <w:r w:rsidRPr="001771BC">
        <w:t xml:space="preserve">ay </w:t>
      </w:r>
      <w:r w:rsidR="00033750">
        <w:t>b</w:t>
      </w:r>
      <w:r w:rsidRPr="001771BC">
        <w:t xml:space="preserve">e </w:t>
      </w:r>
      <w:r w:rsidR="00033750">
        <w:t>h</w:t>
      </w:r>
      <w:r w:rsidRPr="001771BC">
        <w:t xml:space="preserve">arming the </w:t>
      </w:r>
      <w:r w:rsidR="00033750">
        <w:t>g</w:t>
      </w:r>
      <w:r w:rsidRPr="001771BC">
        <w:t xml:space="preserve">lobal </w:t>
      </w:r>
      <w:r w:rsidR="00033750">
        <w:t>c</w:t>
      </w:r>
      <w:r w:rsidRPr="001771BC">
        <w:t xml:space="preserve">ommunity. </w:t>
      </w:r>
      <w:r w:rsidR="00A81DA8" w:rsidRPr="001771BC">
        <w:rPr>
          <w:i/>
        </w:rPr>
        <w:t xml:space="preserve">Health Education &amp; Behavior, </w:t>
      </w:r>
      <w:r w:rsidRPr="006778FE">
        <w:rPr>
          <w:i/>
          <w:iCs/>
        </w:rPr>
        <w:t>47</w:t>
      </w:r>
      <w:r w:rsidRPr="001771BC">
        <w:t>(4),</w:t>
      </w:r>
      <w:r w:rsidR="00E61671">
        <w:t xml:space="preserve"> 531–535.</w:t>
      </w:r>
      <w:r w:rsidRPr="001771BC">
        <w:t xml:space="preserve"> </w:t>
      </w:r>
      <w:hyperlink r:id="rId18" w:history="1">
        <w:r w:rsidRPr="001771BC">
          <w:rPr>
            <w:rStyle w:val="Hyperlink"/>
          </w:rPr>
          <w:t>https://doi.org/10.1177/1090198120935073</w:t>
        </w:r>
      </w:hyperlink>
    </w:p>
    <w:p w14:paraId="62C9502D" w14:textId="66FBA4A1" w:rsidR="00EA37CD" w:rsidRPr="001771BC" w:rsidRDefault="00A81DA8" w:rsidP="001202B1">
      <w:pPr>
        <w:pStyle w:val="Heading2"/>
      </w:pPr>
      <w:r w:rsidRPr="001771BC">
        <w:t>Chapter 8</w:t>
      </w:r>
      <w:r w:rsidR="00FA28D3" w:rsidRPr="001771BC">
        <w:t>:</w:t>
      </w:r>
      <w:r w:rsidRPr="001771BC">
        <w:t xml:space="preserve"> Mass </w:t>
      </w:r>
      <w:r w:rsidR="00C830A0" w:rsidRPr="001771BC">
        <w:t>communication</w:t>
      </w:r>
    </w:p>
    <w:p w14:paraId="41C3BEE5" w14:textId="289496C7" w:rsidR="00E73786" w:rsidRDefault="00E73786" w:rsidP="00E73786">
      <w:r w:rsidRPr="00E73786">
        <w:t xml:space="preserve">Drowning disproportionately affects certain socio-economic groups. This paper sought to determine if a social marketing intervention might positively influence perceptions about </w:t>
      </w:r>
      <w:r w:rsidRPr="00E73786">
        <w:lastRenderedPageBreak/>
        <w:t xml:space="preserve">water safety. It provides feasible strategies to supplement swimming lessons with the </w:t>
      </w:r>
      <w:proofErr w:type="gramStart"/>
      <w:r w:rsidRPr="00E73786">
        <w:t>ultimate goal</w:t>
      </w:r>
      <w:proofErr w:type="gramEnd"/>
      <w:r w:rsidRPr="00E73786">
        <w:t xml:space="preserve"> of preventing drowning.</w:t>
      </w:r>
    </w:p>
    <w:p w14:paraId="530C305F" w14:textId="71498D4F" w:rsidR="00EA37CD" w:rsidRPr="001771BC" w:rsidRDefault="00EB275E" w:rsidP="004A249C">
      <w:pPr>
        <w:ind w:left="432"/>
      </w:pPr>
      <w:r w:rsidRPr="001771BC">
        <w:t xml:space="preserve">Glassman, T.J., Casto, T., Karmakar, M., </w:t>
      </w:r>
      <w:proofErr w:type="spellStart"/>
      <w:r w:rsidRPr="001771BC">
        <w:t>Blavos</w:t>
      </w:r>
      <w:proofErr w:type="spellEnd"/>
      <w:r w:rsidRPr="001771BC">
        <w:t xml:space="preserve">, A., </w:t>
      </w:r>
      <w:proofErr w:type="spellStart"/>
      <w:r w:rsidRPr="001771BC">
        <w:t>Dagenhard</w:t>
      </w:r>
      <w:proofErr w:type="spellEnd"/>
      <w:r w:rsidRPr="001771BC">
        <w:t xml:space="preserve">, P., Domigan, J., Sweeney, E., Diehr, A. and </w:t>
      </w:r>
      <w:proofErr w:type="spellStart"/>
      <w:r w:rsidRPr="001771BC">
        <w:t>Kucharewski</w:t>
      </w:r>
      <w:proofErr w:type="spellEnd"/>
      <w:r w:rsidRPr="001771BC">
        <w:t>, R. (2018)</w:t>
      </w:r>
      <w:r w:rsidR="00033750">
        <w:t>.</w:t>
      </w:r>
      <w:r w:rsidRPr="001771BC">
        <w:t xml:space="preserve"> A </w:t>
      </w:r>
      <w:r w:rsidR="00033750">
        <w:t>s</w:t>
      </w:r>
      <w:r w:rsidRPr="001771BC">
        <w:t xml:space="preserve">ocial </w:t>
      </w:r>
      <w:r w:rsidR="00033750">
        <w:t>m</w:t>
      </w:r>
      <w:r w:rsidRPr="001771BC">
        <w:t xml:space="preserve">arketing </w:t>
      </w:r>
      <w:r w:rsidR="00033750">
        <w:t>i</w:t>
      </w:r>
      <w:r w:rsidRPr="001771BC">
        <w:t xml:space="preserve">ntervention to </w:t>
      </w:r>
      <w:r w:rsidR="00033750">
        <w:t>p</w:t>
      </w:r>
      <w:r w:rsidRPr="001771BC">
        <w:t xml:space="preserve">revent </w:t>
      </w:r>
      <w:r w:rsidR="00033750">
        <w:t>d</w:t>
      </w:r>
      <w:r w:rsidRPr="001771BC">
        <w:t xml:space="preserve">rowning </w:t>
      </w:r>
      <w:r w:rsidR="00033750">
        <w:t>a</w:t>
      </w:r>
      <w:r w:rsidRPr="001771BC">
        <w:t xml:space="preserve">mong </w:t>
      </w:r>
      <w:r w:rsidR="00033750">
        <w:t>i</w:t>
      </w:r>
      <w:r w:rsidRPr="001771BC">
        <w:t>nner-</w:t>
      </w:r>
      <w:r w:rsidR="00033750">
        <w:t>c</w:t>
      </w:r>
      <w:r w:rsidRPr="001771BC">
        <w:t xml:space="preserve">ity </w:t>
      </w:r>
      <w:r w:rsidR="00033750">
        <w:t>y</w:t>
      </w:r>
      <w:r w:rsidRPr="001771BC">
        <w:t xml:space="preserve">outh. </w:t>
      </w:r>
      <w:r w:rsidR="00A81DA8" w:rsidRPr="001771BC">
        <w:rPr>
          <w:i/>
        </w:rPr>
        <w:t xml:space="preserve">Health Promotion Practice, </w:t>
      </w:r>
      <w:r w:rsidRPr="006778FE">
        <w:rPr>
          <w:i/>
          <w:iCs/>
        </w:rPr>
        <w:t>19</w:t>
      </w:r>
      <w:r w:rsidRPr="001771BC">
        <w:t>(2)</w:t>
      </w:r>
      <w:r w:rsidR="00DA153F">
        <w:t>,</w:t>
      </w:r>
      <w:r w:rsidRPr="001771BC">
        <w:t xml:space="preserve"> 175</w:t>
      </w:r>
      <w:r w:rsidR="00033750" w:rsidRPr="00033750">
        <w:t>–</w:t>
      </w:r>
      <w:r w:rsidRPr="001771BC">
        <w:t>183.</w:t>
      </w:r>
    </w:p>
    <w:p w14:paraId="7EF1A873" w14:textId="2DBF0F28" w:rsidR="00EA37CD" w:rsidRPr="001771BC" w:rsidRDefault="00EB275E" w:rsidP="004A249C">
      <w:r w:rsidRPr="001771BC">
        <w:t>Social media is being used in low</w:t>
      </w:r>
      <w:r w:rsidR="00AB398E">
        <w:t>-</w:t>
      </w:r>
      <w:r w:rsidRPr="001771BC">
        <w:t xml:space="preserve"> and middle-income countries for a range of health-related purposes</w:t>
      </w:r>
      <w:r w:rsidR="00AB398E">
        <w:t>,</w:t>
      </w:r>
      <w:r w:rsidRPr="001771BC">
        <w:t xml:space="preserve"> including mass communication and health education.</w:t>
      </w:r>
      <w:r w:rsidR="002D4CB7">
        <w:t xml:space="preserve"> </w:t>
      </w:r>
      <w:r w:rsidRPr="001771BC">
        <w:t>This paper examines the literature on the use of social media for health in these contexts:</w:t>
      </w:r>
    </w:p>
    <w:p w14:paraId="5B846AA8" w14:textId="301AA5A8" w:rsidR="00EA37CD" w:rsidRPr="001771BC" w:rsidRDefault="00EB275E" w:rsidP="004A249C">
      <w:pPr>
        <w:ind w:left="432"/>
      </w:pPr>
      <w:r w:rsidRPr="001771BC">
        <w:t>Hagg, E. et al. (2018)</w:t>
      </w:r>
      <w:r w:rsidR="00033750">
        <w:t>.</w:t>
      </w:r>
      <w:r w:rsidRPr="001771BC">
        <w:t xml:space="preserve"> The emerging use of social media for health-related purposes in low and middle-income countries: A scoping review. </w:t>
      </w:r>
      <w:r w:rsidR="00A81DA8" w:rsidRPr="001771BC">
        <w:rPr>
          <w:i/>
        </w:rPr>
        <w:t xml:space="preserve">International Journal of Medical Informatics, </w:t>
      </w:r>
      <w:r w:rsidRPr="006778FE">
        <w:rPr>
          <w:i/>
          <w:iCs/>
        </w:rPr>
        <w:t>115</w:t>
      </w:r>
      <w:r w:rsidRPr="001771BC">
        <w:t>,</w:t>
      </w:r>
      <w:r w:rsidR="00E61671">
        <w:t xml:space="preserve"> 92–105.</w:t>
      </w:r>
      <w:r w:rsidRPr="001771BC">
        <w:t xml:space="preserve"> </w:t>
      </w:r>
      <w:hyperlink r:id="rId19" w:history="1">
        <w:r w:rsidRPr="001771BC">
          <w:rPr>
            <w:rStyle w:val="Hyperlink"/>
          </w:rPr>
          <w:t>https://doi.org/10.1016/j.ij,edinf.2018.04.010</w:t>
        </w:r>
      </w:hyperlink>
    </w:p>
    <w:p w14:paraId="143F40BA" w14:textId="200E0372" w:rsidR="00E73786" w:rsidRDefault="00E73786" w:rsidP="006778FE">
      <w:r w:rsidRPr="00E73786">
        <w:t xml:space="preserve">This paper examines data from the Shout-It-Now </w:t>
      </w:r>
      <w:proofErr w:type="spellStart"/>
      <w:r w:rsidRPr="00E73786">
        <w:t>programme</w:t>
      </w:r>
      <w:proofErr w:type="spellEnd"/>
      <w:r w:rsidRPr="00E73786">
        <w:t xml:space="preserve"> which uses edutainment to increase HIV counselling and testing rates. It concludes that integrating technology, quality assurance measures and edutainment with mobile HCT has the potential to increase testing rates.</w:t>
      </w:r>
    </w:p>
    <w:p w14:paraId="6747ED51" w14:textId="3C546936" w:rsidR="00EA37CD" w:rsidRPr="001771BC" w:rsidRDefault="00EB275E" w:rsidP="004A249C">
      <w:pPr>
        <w:ind w:left="432"/>
      </w:pPr>
      <w:r w:rsidRPr="001771BC">
        <w:t xml:space="preserve">Daniels, J., Komarek, A., </w:t>
      </w:r>
      <w:proofErr w:type="spellStart"/>
      <w:r w:rsidRPr="001771BC">
        <w:t>Forgreive</w:t>
      </w:r>
      <w:proofErr w:type="spellEnd"/>
      <w:r w:rsidRPr="001771BC">
        <w:t>, B., Pahl, K., Stafford, S., Campbell Bruns, L. and Coates, T. (2017)</w:t>
      </w:r>
      <w:r w:rsidR="00033750">
        <w:t>.</w:t>
      </w:r>
      <w:r w:rsidRPr="001771BC">
        <w:t xml:space="preserve"> Shout-</w:t>
      </w:r>
      <w:r w:rsidR="00033750">
        <w:t>i</w:t>
      </w:r>
      <w:r w:rsidRPr="001771BC">
        <w:t>t-</w:t>
      </w:r>
      <w:r w:rsidR="00033750">
        <w:t>n</w:t>
      </w:r>
      <w:r w:rsidRPr="001771BC">
        <w:t xml:space="preserve">ow: A </w:t>
      </w:r>
      <w:r w:rsidR="00033750">
        <w:t>m</w:t>
      </w:r>
      <w:r w:rsidRPr="001771BC">
        <w:t xml:space="preserve">obile HCT </w:t>
      </w:r>
      <w:r w:rsidR="00033750">
        <w:t>m</w:t>
      </w:r>
      <w:r w:rsidRPr="001771BC">
        <w:t xml:space="preserve">odel </w:t>
      </w:r>
      <w:r w:rsidR="00033750">
        <w:t>e</w:t>
      </w:r>
      <w:r w:rsidRPr="001771BC">
        <w:t xml:space="preserve">mploying </w:t>
      </w:r>
      <w:r w:rsidR="00033750">
        <w:t>t</w:t>
      </w:r>
      <w:r w:rsidRPr="001771BC">
        <w:t xml:space="preserve">echnology and </w:t>
      </w:r>
      <w:r w:rsidR="00033750">
        <w:t>e</w:t>
      </w:r>
      <w:r w:rsidRPr="001771BC">
        <w:t xml:space="preserve">dutainment in South Africa. </w:t>
      </w:r>
      <w:r w:rsidR="00A81DA8" w:rsidRPr="001771BC">
        <w:rPr>
          <w:i/>
        </w:rPr>
        <w:t xml:space="preserve">HIV Service Delivery, </w:t>
      </w:r>
      <w:r w:rsidRPr="006778FE">
        <w:rPr>
          <w:i/>
          <w:iCs/>
        </w:rPr>
        <w:t>16</w:t>
      </w:r>
      <w:r w:rsidRPr="001771BC">
        <w:t>(5)</w:t>
      </w:r>
      <w:r w:rsidR="00DA153F">
        <w:t>,</w:t>
      </w:r>
      <w:r w:rsidRPr="001771BC">
        <w:t xml:space="preserve"> 506</w:t>
      </w:r>
      <w:r w:rsidR="00033750" w:rsidRPr="00033750">
        <w:t>–</w:t>
      </w:r>
      <w:r w:rsidRPr="001771BC">
        <w:t>511.</w:t>
      </w:r>
    </w:p>
    <w:p w14:paraId="304A1C6C" w14:textId="505CCA3F" w:rsidR="00EA37CD" w:rsidRPr="001771BC" w:rsidRDefault="00A81DA8" w:rsidP="001202B1">
      <w:pPr>
        <w:pStyle w:val="Heading2"/>
      </w:pPr>
      <w:r w:rsidRPr="001771BC">
        <w:t>Chapter 9</w:t>
      </w:r>
      <w:r w:rsidR="00FA28D3" w:rsidRPr="001771BC">
        <w:t>:</w:t>
      </w:r>
      <w:r w:rsidRPr="001771BC">
        <w:t xml:space="preserve"> Working with </w:t>
      </w:r>
      <w:r w:rsidR="00C830A0" w:rsidRPr="001771BC">
        <w:t>communities</w:t>
      </w:r>
    </w:p>
    <w:p w14:paraId="4985E34C" w14:textId="5CD31C5F" w:rsidR="00EA37CD" w:rsidRPr="001771BC" w:rsidRDefault="00EB275E" w:rsidP="004A249C">
      <w:r w:rsidRPr="001771BC">
        <w:t>Focused on the outbreak of the Ebola virus in West Africa, this paper outlines how bottom-up approaches were not widely implemented during the response. The paper shows the value of bottom-up approaches for current and future disease emergency responses.</w:t>
      </w:r>
    </w:p>
    <w:p w14:paraId="7C5729F2" w14:textId="2482E705" w:rsidR="00EA37CD" w:rsidRPr="001771BC" w:rsidRDefault="00EB275E" w:rsidP="004A249C">
      <w:pPr>
        <w:ind w:left="432"/>
      </w:pPr>
      <w:r w:rsidRPr="00E61671">
        <w:t xml:space="preserve">Laverack, G. </w:t>
      </w:r>
      <w:r w:rsidR="00220942" w:rsidRPr="00E61671">
        <w:t>and</w:t>
      </w:r>
      <w:r w:rsidRPr="00E61671">
        <w:t xml:space="preserve"> </w:t>
      </w:r>
      <w:proofErr w:type="spellStart"/>
      <w:r w:rsidRPr="00E61671">
        <w:t>Manoncourt</w:t>
      </w:r>
      <w:proofErr w:type="spellEnd"/>
      <w:r w:rsidRPr="00E61671">
        <w:t xml:space="preserve">, E. (2016). Key experiences of community engagement and social mobilization in the Ebola response. </w:t>
      </w:r>
      <w:r w:rsidR="00A81DA8" w:rsidRPr="00E61671">
        <w:rPr>
          <w:i/>
        </w:rPr>
        <w:t>Global Health Promotion</w:t>
      </w:r>
      <w:r w:rsidRPr="00E61671">
        <w:t xml:space="preserve">, </w:t>
      </w:r>
      <w:r w:rsidR="00A81DA8" w:rsidRPr="00E61671">
        <w:rPr>
          <w:i/>
        </w:rPr>
        <w:t>23</w:t>
      </w:r>
      <w:r w:rsidRPr="00E61671">
        <w:t>(1), 79–82</w:t>
      </w:r>
      <w:r w:rsidRPr="001771BC">
        <w:t>.</w:t>
      </w:r>
    </w:p>
    <w:p w14:paraId="5B5EC5AE" w14:textId="018FE9A2" w:rsidR="00EA37CD" w:rsidRPr="001771BC" w:rsidRDefault="00EB275E" w:rsidP="004A249C">
      <w:r w:rsidRPr="001771BC">
        <w:t xml:space="preserve">This study provides a useful example of activism to support and promote </w:t>
      </w:r>
      <w:r w:rsidR="002A3EB8">
        <w:t xml:space="preserve">the </w:t>
      </w:r>
      <w:r w:rsidRPr="001771BC">
        <w:t>well-being of young people in an Indigenous community:</w:t>
      </w:r>
    </w:p>
    <w:p w14:paraId="720C09EE" w14:textId="2F4B5648" w:rsidR="00EA37CD" w:rsidRPr="001771BC" w:rsidRDefault="00EB275E" w:rsidP="004A249C">
      <w:pPr>
        <w:ind w:left="432"/>
      </w:pPr>
      <w:r w:rsidRPr="001771BC">
        <w:t xml:space="preserve">Freeman, B.M. (2019) Promoting global health and well-being of Indigenous youth through the connection of land and culture-based activism. </w:t>
      </w:r>
      <w:r w:rsidR="00A81DA8" w:rsidRPr="001771BC">
        <w:rPr>
          <w:i/>
        </w:rPr>
        <w:t>Global Health Promotion,</w:t>
      </w:r>
      <w:r w:rsidRPr="001771BC">
        <w:t xml:space="preserve"> </w:t>
      </w:r>
      <w:r w:rsidRPr="006778FE">
        <w:rPr>
          <w:i/>
          <w:iCs/>
        </w:rPr>
        <w:t>26</w:t>
      </w:r>
      <w:r w:rsidR="00A81DA8" w:rsidRPr="006778FE">
        <w:rPr>
          <w:bCs/>
        </w:rPr>
        <w:t>,</w:t>
      </w:r>
      <w:r w:rsidRPr="001771BC">
        <w:t xml:space="preserve"> 17</w:t>
      </w:r>
      <w:r w:rsidR="00033750" w:rsidRPr="00033750">
        <w:t>–</w:t>
      </w:r>
      <w:r w:rsidRPr="001771BC">
        <w:t>25.</w:t>
      </w:r>
    </w:p>
    <w:p w14:paraId="5E299807" w14:textId="5FD382FB" w:rsidR="002D4CB7" w:rsidRDefault="00EB275E" w:rsidP="004A249C">
      <w:r w:rsidRPr="001771BC">
        <w:t>A scoping review focusing on asset-based approaches to promote health draws out key concepts and understandings to support policy and practice development:</w:t>
      </w:r>
    </w:p>
    <w:p w14:paraId="43E5CC8E" w14:textId="30328D86" w:rsidR="00EA37CD" w:rsidRPr="001771BC" w:rsidRDefault="00EB275E" w:rsidP="004A249C">
      <w:pPr>
        <w:ind w:left="432"/>
      </w:pPr>
      <w:r w:rsidRPr="001771BC">
        <w:lastRenderedPageBreak/>
        <w:t xml:space="preserve">Cassetti, V., Powell, K., Barnes, A. </w:t>
      </w:r>
      <w:r w:rsidR="00220942">
        <w:t>and</w:t>
      </w:r>
      <w:r w:rsidRPr="001771BC">
        <w:t xml:space="preserve"> Sanders, T. (2020)</w:t>
      </w:r>
      <w:r w:rsidR="00DA153F">
        <w:t>.</w:t>
      </w:r>
      <w:r w:rsidRPr="001771BC">
        <w:t xml:space="preserve"> A systematic scoping review of asset-based approaches to promote health in communities: </w:t>
      </w:r>
      <w:r w:rsidR="00DA153F">
        <w:t>D</w:t>
      </w:r>
      <w:r w:rsidRPr="001771BC">
        <w:t xml:space="preserve">evelopment of a framework. </w:t>
      </w:r>
      <w:r w:rsidR="00A81DA8" w:rsidRPr="001771BC">
        <w:rPr>
          <w:i/>
        </w:rPr>
        <w:t>Global Health Promotion,</w:t>
      </w:r>
      <w:r w:rsidRPr="001771BC">
        <w:t xml:space="preserve"> </w:t>
      </w:r>
      <w:r w:rsidRPr="006778FE">
        <w:rPr>
          <w:i/>
          <w:iCs/>
        </w:rPr>
        <w:t>27</w:t>
      </w:r>
      <w:r w:rsidR="00A81DA8" w:rsidRPr="006778FE">
        <w:rPr>
          <w:bCs/>
        </w:rPr>
        <w:t>,</w:t>
      </w:r>
      <w:r w:rsidRPr="001771BC">
        <w:t xml:space="preserve"> 15</w:t>
      </w:r>
      <w:r w:rsidR="00033750" w:rsidRPr="006778FE">
        <w:t>–</w:t>
      </w:r>
      <w:r w:rsidRPr="001771BC">
        <w:t>23.</w:t>
      </w:r>
    </w:p>
    <w:p w14:paraId="34F9132C" w14:textId="083D4EE8" w:rsidR="00EA37CD" w:rsidRPr="001771BC" w:rsidRDefault="00A81DA8" w:rsidP="001202B1">
      <w:pPr>
        <w:pStyle w:val="Heading2"/>
      </w:pPr>
      <w:r w:rsidRPr="001771BC">
        <w:t>Chapter 10</w:t>
      </w:r>
      <w:r w:rsidR="00FA28D3" w:rsidRPr="001771BC">
        <w:t>:</w:t>
      </w:r>
      <w:r w:rsidRPr="001771BC">
        <w:t xml:space="preserve"> Settings for </w:t>
      </w:r>
      <w:r w:rsidR="00C830A0" w:rsidRPr="001771BC">
        <w:t>health</w:t>
      </w:r>
    </w:p>
    <w:p w14:paraId="7A8E1459" w14:textId="1E6C2666" w:rsidR="00EA37CD" w:rsidRPr="001771BC" w:rsidRDefault="00EB275E" w:rsidP="004A249C">
      <w:r w:rsidRPr="001771BC">
        <w:t>Prisons lag behind other settings in relation to practice, policy</w:t>
      </w:r>
      <w:r w:rsidR="00C77B1A" w:rsidRPr="000F770B">
        <w:t>,</w:t>
      </w:r>
      <w:r w:rsidRPr="001771BC">
        <w:t xml:space="preserve"> and theory development. This paper advances and builds upon</w:t>
      </w:r>
      <w:r w:rsidR="00E30624">
        <w:t xml:space="preserve"> a</w:t>
      </w:r>
      <w:r w:rsidRPr="001771BC">
        <w:t xml:space="preserve"> theoretical understanding of the health</w:t>
      </w:r>
      <w:r w:rsidR="00C77B1A">
        <w:t>-</w:t>
      </w:r>
      <w:r w:rsidRPr="001771BC">
        <w:t>promoting pri</w:t>
      </w:r>
      <w:r w:rsidR="00BF0B75">
        <w:t>s</w:t>
      </w:r>
      <w:r w:rsidRPr="001771BC">
        <w:t>ons, suggesting the value of outdoor spaces to prisoner health:</w:t>
      </w:r>
    </w:p>
    <w:p w14:paraId="66A8ACDD" w14:textId="181FA0BF" w:rsidR="00EA37CD" w:rsidRPr="001771BC" w:rsidRDefault="00EB275E" w:rsidP="004A249C">
      <w:pPr>
        <w:ind w:left="432"/>
      </w:pPr>
      <w:r w:rsidRPr="00E61671">
        <w:t xml:space="preserve">Baybutt, M. </w:t>
      </w:r>
      <w:r w:rsidR="00220942" w:rsidRPr="00E61671">
        <w:t>and</w:t>
      </w:r>
      <w:r w:rsidRPr="00E61671">
        <w:t xml:space="preserve"> Chemlal, K. (2016). Health-promoting prisons: Theory to practice. </w:t>
      </w:r>
      <w:r w:rsidR="00A81DA8" w:rsidRPr="00E61671">
        <w:rPr>
          <w:i/>
        </w:rPr>
        <w:t>Global Health Promotion</w:t>
      </w:r>
      <w:r w:rsidRPr="00E61671">
        <w:t xml:space="preserve">, </w:t>
      </w:r>
      <w:r w:rsidR="00A81DA8" w:rsidRPr="00E61671">
        <w:rPr>
          <w:i/>
        </w:rPr>
        <w:t>23</w:t>
      </w:r>
      <w:r w:rsidRPr="00E61671">
        <w:t>(Suppl.), 66–74</w:t>
      </w:r>
      <w:r w:rsidRPr="001771BC">
        <w:t>.</w:t>
      </w:r>
    </w:p>
    <w:p w14:paraId="43F9D60C" w14:textId="0A503629" w:rsidR="00EA37CD" w:rsidRPr="001771BC" w:rsidRDefault="00EB275E" w:rsidP="004A249C">
      <w:r w:rsidRPr="001771BC">
        <w:t>The main aim of this study is to develop the Taiwan Health-Promoting School Accreditation System framework. The authors conclude that the framework is reliable in assessing whether schools meet health</w:t>
      </w:r>
      <w:r w:rsidR="00412586">
        <w:t>-</w:t>
      </w:r>
      <w:r w:rsidRPr="001771BC">
        <w:t>promoting standards:</w:t>
      </w:r>
    </w:p>
    <w:p w14:paraId="1626A1BD" w14:textId="46A48AB2" w:rsidR="00EA37CD" w:rsidRPr="001771BC" w:rsidRDefault="00EB275E" w:rsidP="004A249C">
      <w:pPr>
        <w:ind w:left="432"/>
      </w:pPr>
      <w:r w:rsidRPr="00E61671">
        <w:t xml:space="preserve">Chen, F.-L. </w:t>
      </w:r>
      <w:r w:rsidR="00220942" w:rsidRPr="00E61671">
        <w:t>and</w:t>
      </w:r>
      <w:r w:rsidRPr="00E61671">
        <w:t xml:space="preserve"> Lee, A. (2016). Health-promoting educational settings in Taiwan: Development and evaluation of the </w:t>
      </w:r>
      <w:proofErr w:type="gramStart"/>
      <w:r w:rsidRPr="00E61671">
        <w:t>Health</w:t>
      </w:r>
      <w:proofErr w:type="gramEnd"/>
      <w:r w:rsidRPr="00E61671">
        <w:t xml:space="preserve">-Promoting School Accreditation System. </w:t>
      </w:r>
      <w:r w:rsidR="00A81DA8" w:rsidRPr="00E61671">
        <w:rPr>
          <w:i/>
        </w:rPr>
        <w:t>Global Health Promotion,</w:t>
      </w:r>
      <w:r w:rsidRPr="00E61671">
        <w:t xml:space="preserve"> </w:t>
      </w:r>
      <w:r w:rsidR="00A81DA8" w:rsidRPr="00E61671">
        <w:rPr>
          <w:i/>
        </w:rPr>
        <w:t>23</w:t>
      </w:r>
      <w:r w:rsidRPr="00E61671">
        <w:t>(Suppl.), 18–25</w:t>
      </w:r>
      <w:r w:rsidRPr="001771BC">
        <w:t>.</w:t>
      </w:r>
    </w:p>
    <w:p w14:paraId="1B2803B2" w14:textId="0BA9AE32" w:rsidR="00EA37CD" w:rsidRPr="001771BC" w:rsidRDefault="00EB275E" w:rsidP="004A249C">
      <w:r w:rsidRPr="001771BC">
        <w:t>Current literature on the health-promoting sports club is gathered and assessed. The review includes six case studies from five countries. The paper usefully outlines current trends and themes in the literature as well as offering future direction for the movement:</w:t>
      </w:r>
    </w:p>
    <w:p w14:paraId="5F91A51D" w14:textId="3F3E19D8" w:rsidR="00EA37CD" w:rsidRPr="001771BC" w:rsidRDefault="00EB275E" w:rsidP="004A249C">
      <w:pPr>
        <w:ind w:left="432"/>
      </w:pPr>
      <w:r w:rsidRPr="00E61671">
        <w:t xml:space="preserve">Kokko, S., Donaldson, A., </w:t>
      </w:r>
      <w:proofErr w:type="spellStart"/>
      <w:r w:rsidRPr="00E61671">
        <w:t>Geidne</w:t>
      </w:r>
      <w:proofErr w:type="spellEnd"/>
      <w:r w:rsidRPr="00E61671">
        <w:t xml:space="preserve">, S., Seghers, J., </w:t>
      </w:r>
      <w:proofErr w:type="spellStart"/>
      <w:r w:rsidRPr="00E61671">
        <w:t>Scheerder</w:t>
      </w:r>
      <w:proofErr w:type="spellEnd"/>
      <w:r w:rsidRPr="00E61671">
        <w:t xml:space="preserve">, J., Meganck, J., . . . </w:t>
      </w:r>
      <w:proofErr w:type="spellStart"/>
      <w:r w:rsidRPr="00E61671">
        <w:t>Eime</w:t>
      </w:r>
      <w:proofErr w:type="spellEnd"/>
      <w:r w:rsidRPr="00E61671">
        <w:t xml:space="preserve">, R. (2016). Piecing the puzzle together: Case studies of international research in health-promoting sports clubs. </w:t>
      </w:r>
      <w:r w:rsidR="00A81DA8" w:rsidRPr="00E61671">
        <w:rPr>
          <w:i/>
        </w:rPr>
        <w:t>Global Health Promotion</w:t>
      </w:r>
      <w:r w:rsidRPr="00E61671">
        <w:t xml:space="preserve">, </w:t>
      </w:r>
      <w:r w:rsidR="00A81DA8" w:rsidRPr="00E61671">
        <w:rPr>
          <w:i/>
        </w:rPr>
        <w:t>23</w:t>
      </w:r>
      <w:r w:rsidRPr="00E61671">
        <w:t>(Suppl.), 75–84</w:t>
      </w:r>
      <w:r w:rsidRPr="001771BC">
        <w:t>.</w:t>
      </w:r>
    </w:p>
    <w:p w14:paraId="2B3C512A" w14:textId="7CF057F2" w:rsidR="00EA37CD" w:rsidRPr="001771BC" w:rsidRDefault="00A81DA8" w:rsidP="001202B1">
      <w:pPr>
        <w:pStyle w:val="Heading2"/>
      </w:pPr>
      <w:r w:rsidRPr="001771BC">
        <w:t>Chapter 11</w:t>
      </w:r>
      <w:r w:rsidR="00FA28D3" w:rsidRPr="001771BC">
        <w:t>:</w:t>
      </w:r>
      <w:r w:rsidRPr="001771BC">
        <w:t xml:space="preserve"> Evaluation</w:t>
      </w:r>
    </w:p>
    <w:p w14:paraId="321E9595" w14:textId="5260B1EB" w:rsidR="00EA37CD" w:rsidRPr="001771BC" w:rsidRDefault="00EB275E" w:rsidP="004A249C">
      <w:r w:rsidRPr="001771BC">
        <w:t>Empowerment is a flagship value for health promotion, but its measure is a long-standing challenge. This paper outlines the debates and current thinking on evaluating empowerment. The paper offers some solutions and also seeks to stimulate further dialogue to refine measurement approaches.</w:t>
      </w:r>
    </w:p>
    <w:p w14:paraId="46E52633" w14:textId="56E76E90" w:rsidR="00EA37CD" w:rsidRPr="001771BC" w:rsidRDefault="00EB275E" w:rsidP="004A249C">
      <w:pPr>
        <w:ind w:left="432"/>
      </w:pPr>
      <w:r w:rsidRPr="00E61671">
        <w:t xml:space="preserve">Cross, R., Woodall, J. </w:t>
      </w:r>
      <w:r w:rsidR="00220942" w:rsidRPr="00E61671">
        <w:t>and</w:t>
      </w:r>
      <w:r w:rsidRPr="00E61671">
        <w:t xml:space="preserve"> Warwick-Booth, L. (2017). Empowerment: Challenges in measurement. </w:t>
      </w:r>
      <w:r w:rsidR="00A81DA8" w:rsidRPr="00E61671">
        <w:rPr>
          <w:i/>
        </w:rPr>
        <w:t>Global Health Promotion</w:t>
      </w:r>
      <w:r w:rsidRPr="00E61671">
        <w:t>, 1–4</w:t>
      </w:r>
      <w:r w:rsidRPr="001771BC">
        <w:t>.</w:t>
      </w:r>
    </w:p>
    <w:p w14:paraId="2D000669" w14:textId="261011D8" w:rsidR="00EA37CD" w:rsidRPr="001771BC" w:rsidRDefault="00EB275E" w:rsidP="004A249C">
      <w:r w:rsidRPr="001771BC">
        <w:lastRenderedPageBreak/>
        <w:t xml:space="preserve">This paper draws on a study of health promotion and sustainability </w:t>
      </w:r>
      <w:proofErr w:type="spellStart"/>
      <w:r w:rsidRPr="00D030A0">
        <w:t>program</w:t>
      </w:r>
      <w:r w:rsidRPr="00977F2D">
        <w:t>mes</w:t>
      </w:r>
      <w:proofErr w:type="spellEnd"/>
      <w:r w:rsidRPr="001771BC">
        <w:t xml:space="preserve"> in Australia, providing insights </w:t>
      </w:r>
      <w:r w:rsidR="00B2002C">
        <w:t>in</w:t>
      </w:r>
      <w:r w:rsidRPr="001771BC">
        <w:t>to</w:t>
      </w:r>
      <w:r w:rsidR="00B2002C">
        <w:t xml:space="preserve"> the</w:t>
      </w:r>
      <w:r w:rsidRPr="001771BC">
        <w:t xml:space="preserve"> evaluation approaches being used and </w:t>
      </w:r>
      <w:r w:rsidR="00B2002C">
        <w:t xml:space="preserve">the </w:t>
      </w:r>
      <w:r w:rsidRPr="001771BC">
        <w:t>barriers and enablers to these evaluations.</w:t>
      </w:r>
    </w:p>
    <w:p w14:paraId="012EE563" w14:textId="55E6E2AF" w:rsidR="00EA37CD" w:rsidRPr="001771BC" w:rsidRDefault="00EB275E" w:rsidP="004A249C">
      <w:pPr>
        <w:ind w:left="432"/>
      </w:pPr>
      <w:r w:rsidRPr="00E61671">
        <w:t xml:space="preserve">Partick, R. </w:t>
      </w:r>
      <w:r w:rsidR="00220942" w:rsidRPr="00E61671">
        <w:t>and</w:t>
      </w:r>
      <w:r w:rsidRPr="00E61671">
        <w:t xml:space="preserve"> Kingsley, J. (2017). Health promotion and sustainability </w:t>
      </w:r>
      <w:proofErr w:type="spellStart"/>
      <w:r w:rsidRPr="00E61671">
        <w:t>programmes</w:t>
      </w:r>
      <w:proofErr w:type="spellEnd"/>
      <w:r w:rsidRPr="00E61671">
        <w:t xml:space="preserve"> in Australia: Barriers and enablers to evaluation. </w:t>
      </w:r>
      <w:r w:rsidR="00A81DA8" w:rsidRPr="00E61671">
        <w:rPr>
          <w:i/>
        </w:rPr>
        <w:t>Global Health Promotion</w:t>
      </w:r>
      <w:r w:rsidRPr="00E61671">
        <w:t>, 1–11</w:t>
      </w:r>
      <w:r w:rsidRPr="001771BC">
        <w:t>.</w:t>
      </w:r>
    </w:p>
    <w:p w14:paraId="6F4975E6" w14:textId="0A86DB2A" w:rsidR="00EA37CD" w:rsidRPr="001771BC" w:rsidRDefault="00EB275E" w:rsidP="004A249C">
      <w:r w:rsidRPr="001771BC">
        <w:t>This paper argues that health promotion research is distinctive and outlines several reasons why this is the case, including the values applied to evaluation practice</w:t>
      </w:r>
      <w:r w:rsidR="00801F59">
        <w:t>,</w:t>
      </w:r>
      <w:r w:rsidRPr="001771BC">
        <w:t xml:space="preserve"> the broad methodological toolkit available to researchers</w:t>
      </w:r>
      <w:r w:rsidR="00801F59">
        <w:t>,</w:t>
      </w:r>
      <w:r w:rsidRPr="001771BC">
        <w:t xml:space="preserve"> and relinquishing professional control.</w:t>
      </w:r>
    </w:p>
    <w:p w14:paraId="6B4B9CD0" w14:textId="4B6CFFBB" w:rsidR="00EA37CD" w:rsidRPr="001771BC" w:rsidRDefault="00EB275E" w:rsidP="004A249C">
      <w:pPr>
        <w:ind w:left="432"/>
      </w:pPr>
      <w:r w:rsidRPr="00E61671">
        <w:t xml:space="preserve">Woodall, J., Warwick-Booth, L., South, J. </w:t>
      </w:r>
      <w:r w:rsidR="00220942" w:rsidRPr="00E61671">
        <w:t>and</w:t>
      </w:r>
      <w:r w:rsidRPr="00E61671">
        <w:t xml:space="preserve"> Cross, R. (2018). What makes health promotion research distinct?</w:t>
      </w:r>
      <w:r w:rsidR="00A81DA8" w:rsidRPr="00E61671">
        <w:rPr>
          <w:i/>
        </w:rPr>
        <w:t xml:space="preserve"> Scandinavian Journal of Public Health</w:t>
      </w:r>
      <w:r w:rsidRPr="00E61671">
        <w:t xml:space="preserve">, </w:t>
      </w:r>
      <w:r w:rsidR="00A81DA8" w:rsidRPr="00E61671">
        <w:rPr>
          <w:i/>
        </w:rPr>
        <w:t>46</w:t>
      </w:r>
      <w:r w:rsidRPr="00E61671">
        <w:t>(Suppl. 20), 118–122</w:t>
      </w:r>
      <w:r w:rsidRPr="001771BC">
        <w:t>.</w:t>
      </w:r>
    </w:p>
    <w:p w14:paraId="78C5FE20" w14:textId="1A8F445B" w:rsidR="00EA37CD" w:rsidRPr="001771BC" w:rsidRDefault="00A81DA8" w:rsidP="001202B1">
      <w:pPr>
        <w:pStyle w:val="Heading2"/>
      </w:pPr>
      <w:r w:rsidRPr="001771BC">
        <w:t>Chapter 12</w:t>
      </w:r>
      <w:r w:rsidR="00FA28D3" w:rsidRPr="001771BC">
        <w:t>:</w:t>
      </w:r>
      <w:r w:rsidRPr="001771BC">
        <w:t xml:space="preserve"> Evidence-based </w:t>
      </w:r>
      <w:r w:rsidR="00C830A0" w:rsidRPr="001771BC">
        <w:t>health promotion</w:t>
      </w:r>
    </w:p>
    <w:p w14:paraId="15E26DCC" w14:textId="39B2E2D1" w:rsidR="00EA37CD" w:rsidRPr="001771BC" w:rsidRDefault="00EB275E" w:rsidP="004A249C">
      <w:r w:rsidRPr="001771BC">
        <w:t xml:space="preserve">This paper </w:t>
      </w:r>
      <w:r w:rsidR="00801F59" w:rsidRPr="001771BC">
        <w:t>summarize</w:t>
      </w:r>
      <w:r w:rsidR="00801F59">
        <w:t>s</w:t>
      </w:r>
      <w:r w:rsidRPr="001771BC">
        <w:t xml:space="preserve"> and highlights </w:t>
      </w:r>
      <w:r w:rsidR="00801F59">
        <w:t xml:space="preserve">the </w:t>
      </w:r>
      <w:r w:rsidRPr="001771BC">
        <w:t>critical debate surrounding evidence-based health promotion. Drawing on case studies and illustrative examples, the paper suggests eight key levers that enable practitioners to embed research evidence into practice.</w:t>
      </w:r>
    </w:p>
    <w:p w14:paraId="15EEE8E9" w14:textId="7AE683C1" w:rsidR="00EA37CD" w:rsidRPr="001771BC" w:rsidRDefault="00EB275E" w:rsidP="004A249C">
      <w:pPr>
        <w:ind w:left="432"/>
      </w:pPr>
      <w:r w:rsidRPr="00E61671">
        <w:t xml:space="preserve">Juneau, C.E., Jones, C.M., McQueen, D.V. </w:t>
      </w:r>
      <w:r w:rsidR="00220942" w:rsidRPr="00E61671">
        <w:t>and</w:t>
      </w:r>
      <w:r w:rsidRPr="00E61671">
        <w:t xml:space="preserve"> Potvin, L. (2011). Evidence-based health promotion: An emerging field. </w:t>
      </w:r>
      <w:r w:rsidR="00A81DA8" w:rsidRPr="00E61671">
        <w:rPr>
          <w:i/>
        </w:rPr>
        <w:t>Global Health Promotion</w:t>
      </w:r>
      <w:r w:rsidRPr="00E61671">
        <w:t xml:space="preserve">, </w:t>
      </w:r>
      <w:r w:rsidR="00A81DA8" w:rsidRPr="00E61671">
        <w:rPr>
          <w:i/>
        </w:rPr>
        <w:t>18</w:t>
      </w:r>
      <w:r w:rsidRPr="00E61671">
        <w:t>, 79–89</w:t>
      </w:r>
      <w:r w:rsidRPr="001771BC">
        <w:t>.</w:t>
      </w:r>
    </w:p>
    <w:p w14:paraId="42D2B536" w14:textId="41CD8B5A" w:rsidR="00EA37CD" w:rsidRPr="001771BC" w:rsidRDefault="00EB275E" w:rsidP="004A249C">
      <w:r w:rsidRPr="001771BC">
        <w:t>Systematic reviews are an important resource for health promoters. This paper reports data from a purposive sample of 17 systematic reviewers of health promotion. The findings provide implications for increasing practitioner knowledge and experience in conducting and interpreting reviews.</w:t>
      </w:r>
    </w:p>
    <w:p w14:paraId="792A1BCE" w14:textId="1D8E067C" w:rsidR="0070463C" w:rsidRPr="00EA37CD" w:rsidRDefault="00EB275E" w:rsidP="004A249C">
      <w:pPr>
        <w:ind w:left="432"/>
      </w:pPr>
      <w:r w:rsidRPr="00E61671">
        <w:t xml:space="preserve">Shepherd, J. (2013). Judgment, resources, and complexity: a qualitative study of the experiences of systematic reviewers of health promotion. </w:t>
      </w:r>
      <w:r w:rsidR="00A81DA8" w:rsidRPr="00E61671">
        <w:rPr>
          <w:i/>
        </w:rPr>
        <w:t>Evaluation and the Health Professions</w:t>
      </w:r>
      <w:r w:rsidRPr="00E61671">
        <w:t xml:space="preserve">, </w:t>
      </w:r>
      <w:r w:rsidR="00A81DA8" w:rsidRPr="00E61671">
        <w:rPr>
          <w:i/>
        </w:rPr>
        <w:t>36</w:t>
      </w:r>
      <w:r w:rsidRPr="00E61671">
        <w:t>, 247–267</w:t>
      </w:r>
      <w:r w:rsidRPr="001771BC">
        <w:t>.</w:t>
      </w:r>
    </w:p>
    <w:sectPr w:rsidR="0070463C" w:rsidRPr="00EA37CD" w:rsidSect="00AA05B3">
      <w:pgSz w:w="12240" w:h="15840"/>
      <w:pgMar w:top="1440" w:right="180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BBDD4" w14:textId="77777777" w:rsidR="00AA05B3" w:rsidRDefault="00AA05B3">
      <w:r>
        <w:separator/>
      </w:r>
    </w:p>
  </w:endnote>
  <w:endnote w:type="continuationSeparator" w:id="0">
    <w:p w14:paraId="671660AA" w14:textId="77777777" w:rsidR="00AA05B3" w:rsidRDefault="00AA0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YNMV E+ CONTRACT">
    <w:altName w:val="Calibri"/>
    <w:panose1 w:val="00000000000000000000"/>
    <w:charset w:val="00"/>
    <w:family w:val="swiss"/>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09CA8" w14:textId="77777777" w:rsidR="00AA05B3" w:rsidRDefault="00AA05B3">
      <w:r>
        <w:separator/>
      </w:r>
    </w:p>
  </w:footnote>
  <w:footnote w:type="continuationSeparator" w:id="0">
    <w:p w14:paraId="1B7C37CB" w14:textId="77777777" w:rsidR="00AA05B3" w:rsidRDefault="00AA05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05903001">
    <w:abstractNumId w:val="5"/>
  </w:num>
  <w:num w:numId="2" w16cid:durableId="294602980">
    <w:abstractNumId w:val="11"/>
  </w:num>
  <w:num w:numId="3" w16cid:durableId="161047506">
    <w:abstractNumId w:val="8"/>
  </w:num>
  <w:num w:numId="4" w16cid:durableId="524179318">
    <w:abstractNumId w:val="6"/>
  </w:num>
  <w:num w:numId="5" w16cid:durableId="1447968672">
    <w:abstractNumId w:val="7"/>
  </w:num>
  <w:num w:numId="6" w16cid:durableId="1694190870">
    <w:abstractNumId w:val="4"/>
  </w:num>
  <w:num w:numId="7" w16cid:durableId="1176457072">
    <w:abstractNumId w:val="2"/>
  </w:num>
  <w:num w:numId="8" w16cid:durableId="981928307">
    <w:abstractNumId w:val="1"/>
  </w:num>
  <w:num w:numId="9" w16cid:durableId="1004550165">
    <w:abstractNumId w:val="0"/>
  </w:num>
  <w:num w:numId="10" w16cid:durableId="2099709074">
    <w:abstractNumId w:val="3"/>
  </w:num>
  <w:num w:numId="11" w16cid:durableId="599292961">
    <w:abstractNumId w:val="9"/>
  </w:num>
  <w:num w:numId="12" w16cid:durableId="19120363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BE7"/>
    <w:rsid w:val="000168B2"/>
    <w:rsid w:val="00024CB8"/>
    <w:rsid w:val="00033437"/>
    <w:rsid w:val="00033750"/>
    <w:rsid w:val="000B2062"/>
    <w:rsid w:val="000D24C4"/>
    <w:rsid w:val="000F388C"/>
    <w:rsid w:val="000F770B"/>
    <w:rsid w:val="001202B1"/>
    <w:rsid w:val="0015405F"/>
    <w:rsid w:val="0017404C"/>
    <w:rsid w:val="001771BC"/>
    <w:rsid w:val="00185227"/>
    <w:rsid w:val="00197203"/>
    <w:rsid w:val="001A239F"/>
    <w:rsid w:val="001A7426"/>
    <w:rsid w:val="001B761C"/>
    <w:rsid w:val="001F7343"/>
    <w:rsid w:val="00203743"/>
    <w:rsid w:val="00220942"/>
    <w:rsid w:val="00227074"/>
    <w:rsid w:val="00272B2E"/>
    <w:rsid w:val="002A3EB8"/>
    <w:rsid w:val="002C44D0"/>
    <w:rsid w:val="002D0F36"/>
    <w:rsid w:val="002D4CB7"/>
    <w:rsid w:val="002D5319"/>
    <w:rsid w:val="002E2D8A"/>
    <w:rsid w:val="002F62BA"/>
    <w:rsid w:val="0031009D"/>
    <w:rsid w:val="00327683"/>
    <w:rsid w:val="00331370"/>
    <w:rsid w:val="00361935"/>
    <w:rsid w:val="00365504"/>
    <w:rsid w:val="00370467"/>
    <w:rsid w:val="00393EAF"/>
    <w:rsid w:val="00396AD3"/>
    <w:rsid w:val="003B6091"/>
    <w:rsid w:val="003C4235"/>
    <w:rsid w:val="003E6E62"/>
    <w:rsid w:val="003E708D"/>
    <w:rsid w:val="003E7BF7"/>
    <w:rsid w:val="003F0E55"/>
    <w:rsid w:val="003F2CB0"/>
    <w:rsid w:val="00412586"/>
    <w:rsid w:val="0041308D"/>
    <w:rsid w:val="00416908"/>
    <w:rsid w:val="00427109"/>
    <w:rsid w:val="004762E3"/>
    <w:rsid w:val="004817D8"/>
    <w:rsid w:val="00483A6A"/>
    <w:rsid w:val="00486A8A"/>
    <w:rsid w:val="004A1135"/>
    <w:rsid w:val="004A249C"/>
    <w:rsid w:val="004B17D5"/>
    <w:rsid w:val="004B1E66"/>
    <w:rsid w:val="004C7FAF"/>
    <w:rsid w:val="004E02C0"/>
    <w:rsid w:val="004E5CF4"/>
    <w:rsid w:val="00500B36"/>
    <w:rsid w:val="00527A48"/>
    <w:rsid w:val="00533876"/>
    <w:rsid w:val="0053536D"/>
    <w:rsid w:val="00542CC3"/>
    <w:rsid w:val="005646CF"/>
    <w:rsid w:val="0058171D"/>
    <w:rsid w:val="00582851"/>
    <w:rsid w:val="00593132"/>
    <w:rsid w:val="00616A17"/>
    <w:rsid w:val="00637127"/>
    <w:rsid w:val="006376F7"/>
    <w:rsid w:val="006537C0"/>
    <w:rsid w:val="00661127"/>
    <w:rsid w:val="0067627F"/>
    <w:rsid w:val="006778FE"/>
    <w:rsid w:val="0069184C"/>
    <w:rsid w:val="00696143"/>
    <w:rsid w:val="006B076F"/>
    <w:rsid w:val="006C7443"/>
    <w:rsid w:val="006D1107"/>
    <w:rsid w:val="006E1D22"/>
    <w:rsid w:val="006E5D17"/>
    <w:rsid w:val="006F059D"/>
    <w:rsid w:val="006F43FC"/>
    <w:rsid w:val="00703BE7"/>
    <w:rsid w:val="0070463C"/>
    <w:rsid w:val="0072507A"/>
    <w:rsid w:val="007557A1"/>
    <w:rsid w:val="00761723"/>
    <w:rsid w:val="00792A89"/>
    <w:rsid w:val="007B2823"/>
    <w:rsid w:val="007B669D"/>
    <w:rsid w:val="007C0E9A"/>
    <w:rsid w:val="00801F59"/>
    <w:rsid w:val="00804E85"/>
    <w:rsid w:val="00811EC9"/>
    <w:rsid w:val="00812742"/>
    <w:rsid w:val="00852986"/>
    <w:rsid w:val="00870008"/>
    <w:rsid w:val="00876836"/>
    <w:rsid w:val="008978D0"/>
    <w:rsid w:val="008B339D"/>
    <w:rsid w:val="008C4617"/>
    <w:rsid w:val="008D029E"/>
    <w:rsid w:val="008E46E0"/>
    <w:rsid w:val="008F6092"/>
    <w:rsid w:val="00905E89"/>
    <w:rsid w:val="00931319"/>
    <w:rsid w:val="00955B08"/>
    <w:rsid w:val="00956287"/>
    <w:rsid w:val="0096128C"/>
    <w:rsid w:val="00963D40"/>
    <w:rsid w:val="00974AA9"/>
    <w:rsid w:val="00975269"/>
    <w:rsid w:val="00977F2D"/>
    <w:rsid w:val="00991CF3"/>
    <w:rsid w:val="009A0CB1"/>
    <w:rsid w:val="009A40A6"/>
    <w:rsid w:val="009B2FE8"/>
    <w:rsid w:val="009B3869"/>
    <w:rsid w:val="009B7BBD"/>
    <w:rsid w:val="00A038D7"/>
    <w:rsid w:val="00A059F3"/>
    <w:rsid w:val="00A1465F"/>
    <w:rsid w:val="00A20F78"/>
    <w:rsid w:val="00A2174A"/>
    <w:rsid w:val="00A324FE"/>
    <w:rsid w:val="00A44E55"/>
    <w:rsid w:val="00A451F9"/>
    <w:rsid w:val="00A77424"/>
    <w:rsid w:val="00A81DA8"/>
    <w:rsid w:val="00A84C45"/>
    <w:rsid w:val="00AA05B3"/>
    <w:rsid w:val="00AB398E"/>
    <w:rsid w:val="00AB42AC"/>
    <w:rsid w:val="00AD5452"/>
    <w:rsid w:val="00AD5E2E"/>
    <w:rsid w:val="00AF0C3C"/>
    <w:rsid w:val="00AF311C"/>
    <w:rsid w:val="00AF4F8B"/>
    <w:rsid w:val="00B12011"/>
    <w:rsid w:val="00B164AA"/>
    <w:rsid w:val="00B16DB7"/>
    <w:rsid w:val="00B2002C"/>
    <w:rsid w:val="00B31FED"/>
    <w:rsid w:val="00B3425A"/>
    <w:rsid w:val="00B36615"/>
    <w:rsid w:val="00B42E08"/>
    <w:rsid w:val="00B73564"/>
    <w:rsid w:val="00BB0C36"/>
    <w:rsid w:val="00BB7BB0"/>
    <w:rsid w:val="00BD062A"/>
    <w:rsid w:val="00BF0B75"/>
    <w:rsid w:val="00C02C66"/>
    <w:rsid w:val="00C039B2"/>
    <w:rsid w:val="00C048E3"/>
    <w:rsid w:val="00C266E0"/>
    <w:rsid w:val="00C55F1A"/>
    <w:rsid w:val="00C62ADA"/>
    <w:rsid w:val="00C6457F"/>
    <w:rsid w:val="00C77B1A"/>
    <w:rsid w:val="00C830A0"/>
    <w:rsid w:val="00C8654C"/>
    <w:rsid w:val="00CB2339"/>
    <w:rsid w:val="00CD1179"/>
    <w:rsid w:val="00CE06A4"/>
    <w:rsid w:val="00CE233F"/>
    <w:rsid w:val="00CE414B"/>
    <w:rsid w:val="00CF39F3"/>
    <w:rsid w:val="00CF5F08"/>
    <w:rsid w:val="00D030A0"/>
    <w:rsid w:val="00D33536"/>
    <w:rsid w:val="00D37AF2"/>
    <w:rsid w:val="00D46302"/>
    <w:rsid w:val="00D61BCA"/>
    <w:rsid w:val="00D667AA"/>
    <w:rsid w:val="00D83A68"/>
    <w:rsid w:val="00D8701F"/>
    <w:rsid w:val="00DA153F"/>
    <w:rsid w:val="00DA246F"/>
    <w:rsid w:val="00DC0095"/>
    <w:rsid w:val="00E01890"/>
    <w:rsid w:val="00E06479"/>
    <w:rsid w:val="00E159DA"/>
    <w:rsid w:val="00E21D27"/>
    <w:rsid w:val="00E30624"/>
    <w:rsid w:val="00E352E1"/>
    <w:rsid w:val="00E52712"/>
    <w:rsid w:val="00E61671"/>
    <w:rsid w:val="00E73786"/>
    <w:rsid w:val="00E74418"/>
    <w:rsid w:val="00EA37CD"/>
    <w:rsid w:val="00EB275E"/>
    <w:rsid w:val="00EC67A7"/>
    <w:rsid w:val="00EC6AC2"/>
    <w:rsid w:val="00ED4F7C"/>
    <w:rsid w:val="00F01A6C"/>
    <w:rsid w:val="00F25E6B"/>
    <w:rsid w:val="00F4373D"/>
    <w:rsid w:val="00F54DB9"/>
    <w:rsid w:val="00F61361"/>
    <w:rsid w:val="00F70E90"/>
    <w:rsid w:val="00F71124"/>
    <w:rsid w:val="00F7153D"/>
    <w:rsid w:val="00F77A8F"/>
    <w:rsid w:val="00F9515B"/>
    <w:rsid w:val="00FA28D3"/>
    <w:rsid w:val="00FA7FE5"/>
    <w:rsid w:val="00FD6C0D"/>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1B95D6"/>
  <w15:docId w15:val="{CBFAAF87-CD66-4C35-8D8F-F6DC32AA5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37CD"/>
    <w:pPr>
      <w:spacing w:line="360" w:lineRule="auto"/>
      <w:contextualSpacing/>
    </w:pPr>
    <w:rPr>
      <w:sz w:val="24"/>
      <w:szCs w:val="24"/>
    </w:rPr>
  </w:style>
  <w:style w:type="paragraph" w:styleId="Heading1">
    <w:name w:val="heading 1"/>
    <w:basedOn w:val="Normal"/>
    <w:next w:val="Normal"/>
    <w:link w:val="Heading1Char"/>
    <w:autoRedefine/>
    <w:qFormat/>
    <w:rsid w:val="00F71124"/>
    <w:pPr>
      <w:keepNext/>
      <w:keepLines/>
      <w:spacing w:before="100" w:after="100"/>
      <w:outlineLvl w:val="0"/>
    </w:pPr>
    <w:rPr>
      <w:rFonts w:eastAsiaTheme="majorEastAsia" w:cstheme="majorBidi"/>
      <w:b/>
      <w:bCs/>
      <w:color w:val="2E74B5" w:themeColor="accent1" w:themeShade="BF"/>
      <w:sz w:val="36"/>
      <w:szCs w:val="28"/>
    </w:rPr>
  </w:style>
  <w:style w:type="paragraph" w:styleId="Heading2">
    <w:name w:val="heading 2"/>
    <w:basedOn w:val="Normal"/>
    <w:next w:val="Normal"/>
    <w:link w:val="Heading2Char"/>
    <w:autoRedefine/>
    <w:unhideWhenUsed/>
    <w:qFormat/>
    <w:rsid w:val="001202B1"/>
    <w:pPr>
      <w:keepNext/>
      <w:keepLines/>
      <w:spacing w:before="100" w:after="100"/>
      <w:outlineLvl w:val="1"/>
    </w:pPr>
    <w:rPr>
      <w:b/>
      <w:bCs/>
      <w:color w:val="5B9BD5"/>
      <w:sz w:val="26"/>
      <w:szCs w:val="26"/>
    </w:rPr>
  </w:style>
  <w:style w:type="paragraph" w:styleId="Heading3">
    <w:name w:val="heading 3"/>
    <w:basedOn w:val="Normal"/>
    <w:next w:val="Normal"/>
    <w:link w:val="Heading3Char"/>
    <w:autoRedefine/>
    <w:uiPriority w:val="9"/>
    <w:unhideWhenUsed/>
    <w:qFormat/>
    <w:rsid w:val="00991CF3"/>
    <w:pPr>
      <w:keepNext/>
      <w:keepLines/>
      <w:spacing w:before="100" w:after="100"/>
      <w:outlineLvl w:val="2"/>
    </w:pPr>
    <w:rPr>
      <w:rFonts w:eastAsiaTheme="majorEastAsia" w:cstheme="majorBidi"/>
      <w:b/>
      <w:color w:val="1F4E79" w:themeColor="accent1" w:themeShade="80"/>
    </w:rPr>
  </w:style>
  <w:style w:type="paragraph" w:styleId="Heading4">
    <w:name w:val="heading 4"/>
    <w:basedOn w:val="Normal"/>
    <w:next w:val="Normal"/>
    <w:link w:val="Heading4Char"/>
    <w:semiHidden/>
    <w:unhideWhenUsed/>
    <w:qFormat/>
    <w:rsid w:val="00C02C6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rsid w:val="00F71124"/>
    <w:rPr>
      <w:rFonts w:eastAsiaTheme="majorEastAsia"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1202B1"/>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uiPriority w:val="9"/>
    <w:rsid w:val="00991CF3"/>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paragraph" w:customStyle="1" w:styleId="Default">
    <w:name w:val="Default"/>
    <w:rsid w:val="0070463C"/>
    <w:pPr>
      <w:autoSpaceDE w:val="0"/>
      <w:autoSpaceDN w:val="0"/>
      <w:adjustRightInd w:val="0"/>
    </w:pPr>
    <w:rPr>
      <w:rFonts w:ascii="WYNMV E+ CONTRACT" w:hAnsi="WYNMV E+ CONTRACT" w:cs="WYNMV E+ CONTRACT"/>
      <w:color w:val="000000"/>
      <w:sz w:val="24"/>
      <w:szCs w:val="24"/>
    </w:rPr>
  </w:style>
  <w:style w:type="character" w:styleId="FollowedHyperlink">
    <w:name w:val="FollowedHyperlink"/>
    <w:basedOn w:val="DefaultParagraphFont"/>
    <w:semiHidden/>
    <w:unhideWhenUsed/>
    <w:rsid w:val="001771BC"/>
    <w:rPr>
      <w:color w:val="954F72" w:themeColor="followedHyperlink"/>
      <w:u w:val="single"/>
    </w:rPr>
  </w:style>
  <w:style w:type="character" w:styleId="UnresolvedMention">
    <w:name w:val="Unresolved Mention"/>
    <w:basedOn w:val="DefaultParagraphFont"/>
    <w:uiPriority w:val="99"/>
    <w:semiHidden/>
    <w:unhideWhenUsed/>
    <w:rsid w:val="002D4CB7"/>
    <w:rPr>
      <w:color w:val="605E5C"/>
      <w:shd w:val="clear" w:color="auto" w:fill="E1DFDD"/>
    </w:rPr>
  </w:style>
  <w:style w:type="character" w:styleId="CommentReference">
    <w:name w:val="annotation reference"/>
    <w:basedOn w:val="DefaultParagraphFont"/>
    <w:semiHidden/>
    <w:unhideWhenUsed/>
    <w:rsid w:val="00DC0095"/>
    <w:rPr>
      <w:sz w:val="16"/>
      <w:szCs w:val="16"/>
    </w:rPr>
  </w:style>
  <w:style w:type="paragraph" w:styleId="CommentText">
    <w:name w:val="annotation text"/>
    <w:basedOn w:val="Normal"/>
    <w:link w:val="CommentTextChar"/>
    <w:unhideWhenUsed/>
    <w:rsid w:val="00DC0095"/>
    <w:pPr>
      <w:spacing w:line="240" w:lineRule="auto"/>
    </w:pPr>
    <w:rPr>
      <w:sz w:val="20"/>
      <w:szCs w:val="20"/>
    </w:rPr>
  </w:style>
  <w:style w:type="character" w:customStyle="1" w:styleId="CommentTextChar">
    <w:name w:val="Comment Text Char"/>
    <w:basedOn w:val="DefaultParagraphFont"/>
    <w:link w:val="CommentText"/>
    <w:rsid w:val="00DC0095"/>
  </w:style>
  <w:style w:type="paragraph" w:styleId="CommentSubject">
    <w:name w:val="annotation subject"/>
    <w:basedOn w:val="CommentText"/>
    <w:next w:val="CommentText"/>
    <w:link w:val="CommentSubjectChar"/>
    <w:semiHidden/>
    <w:unhideWhenUsed/>
    <w:rsid w:val="00DC0095"/>
    <w:rPr>
      <w:b/>
      <w:bCs/>
    </w:rPr>
  </w:style>
  <w:style w:type="character" w:customStyle="1" w:styleId="CommentSubjectChar">
    <w:name w:val="Comment Subject Char"/>
    <w:basedOn w:val="CommentTextChar"/>
    <w:link w:val="CommentSubject"/>
    <w:semiHidden/>
    <w:rsid w:val="00DC0095"/>
    <w:rPr>
      <w:b/>
      <w:bCs/>
    </w:rPr>
  </w:style>
  <w:style w:type="paragraph" w:styleId="Revision">
    <w:name w:val="Revision"/>
    <w:hidden/>
    <w:uiPriority w:val="99"/>
    <w:semiHidden/>
    <w:rsid w:val="009A0CB1"/>
    <w:rPr>
      <w:sz w:val="24"/>
      <w:szCs w:val="24"/>
    </w:rPr>
  </w:style>
  <w:style w:type="character" w:customStyle="1" w:styleId="Heading4Char">
    <w:name w:val="Heading 4 Char"/>
    <w:basedOn w:val="DefaultParagraphFont"/>
    <w:link w:val="Heading4"/>
    <w:semiHidden/>
    <w:rsid w:val="00C02C66"/>
    <w:rPr>
      <w:rFonts w:asciiTheme="majorHAnsi" w:eastAsiaTheme="majorEastAsia" w:hAnsiTheme="majorHAnsi" w:cstheme="majorBidi"/>
      <w:i/>
      <w:iCs/>
      <w:color w:val="2E74B5" w:themeColor="accent1" w:themeShade="BF"/>
      <w:sz w:val="24"/>
      <w:szCs w:val="24"/>
    </w:rPr>
  </w:style>
  <w:style w:type="paragraph" w:customStyle="1" w:styleId="CTChapterTitle">
    <w:name w:val="CT Chapter Title"/>
    <w:basedOn w:val="Normal"/>
    <w:qFormat/>
    <w:rsid w:val="00F71124"/>
    <w:pPr>
      <w:spacing w:before="120" w:after="120" w:line="276" w:lineRule="auto"/>
      <w:contextualSpacing w:val="0"/>
      <w:jc w:val="center"/>
    </w:pPr>
    <w:rPr>
      <w:rFonts w:ascii="Franklin Gothic Medium" w:eastAsiaTheme="minorHAnsi" w:hAnsi="Franklin Gothic Medium" w:cstheme="minorBidi"/>
      <w:sz w:val="48"/>
      <w:lang w:val="en-GB"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29721">
      <w:bodyDiv w:val="1"/>
      <w:marLeft w:val="0"/>
      <w:marRight w:val="0"/>
      <w:marTop w:val="0"/>
      <w:marBottom w:val="0"/>
      <w:divBdr>
        <w:top w:val="none" w:sz="0" w:space="0" w:color="auto"/>
        <w:left w:val="none" w:sz="0" w:space="0" w:color="auto"/>
        <w:bottom w:val="none" w:sz="0" w:space="0" w:color="auto"/>
        <w:right w:val="none" w:sz="0" w:space="0" w:color="auto"/>
      </w:divBdr>
    </w:div>
    <w:div w:id="304820322">
      <w:bodyDiv w:val="1"/>
      <w:marLeft w:val="0"/>
      <w:marRight w:val="0"/>
      <w:marTop w:val="0"/>
      <w:marBottom w:val="0"/>
      <w:divBdr>
        <w:top w:val="none" w:sz="0" w:space="0" w:color="auto"/>
        <w:left w:val="none" w:sz="0" w:space="0" w:color="auto"/>
        <w:bottom w:val="none" w:sz="0" w:space="0" w:color="auto"/>
        <w:right w:val="none" w:sz="0" w:space="0" w:color="auto"/>
      </w:divBdr>
    </w:div>
    <w:div w:id="363142926">
      <w:bodyDiv w:val="1"/>
      <w:marLeft w:val="0"/>
      <w:marRight w:val="0"/>
      <w:marTop w:val="0"/>
      <w:marBottom w:val="0"/>
      <w:divBdr>
        <w:top w:val="none" w:sz="0" w:space="0" w:color="auto"/>
        <w:left w:val="none" w:sz="0" w:space="0" w:color="auto"/>
        <w:bottom w:val="none" w:sz="0" w:space="0" w:color="auto"/>
        <w:right w:val="none" w:sz="0" w:space="0" w:color="auto"/>
      </w:divBdr>
    </w:div>
    <w:div w:id="375349703">
      <w:bodyDiv w:val="1"/>
      <w:marLeft w:val="0"/>
      <w:marRight w:val="0"/>
      <w:marTop w:val="0"/>
      <w:marBottom w:val="0"/>
      <w:divBdr>
        <w:top w:val="none" w:sz="0" w:space="0" w:color="auto"/>
        <w:left w:val="none" w:sz="0" w:space="0" w:color="auto"/>
        <w:bottom w:val="none" w:sz="0" w:space="0" w:color="auto"/>
        <w:right w:val="none" w:sz="0" w:space="0" w:color="auto"/>
      </w:divBdr>
    </w:div>
    <w:div w:id="438258976">
      <w:bodyDiv w:val="1"/>
      <w:marLeft w:val="0"/>
      <w:marRight w:val="0"/>
      <w:marTop w:val="0"/>
      <w:marBottom w:val="0"/>
      <w:divBdr>
        <w:top w:val="none" w:sz="0" w:space="0" w:color="auto"/>
        <w:left w:val="none" w:sz="0" w:space="0" w:color="auto"/>
        <w:bottom w:val="none" w:sz="0" w:space="0" w:color="auto"/>
        <w:right w:val="none" w:sz="0" w:space="0" w:color="auto"/>
      </w:divBdr>
    </w:div>
    <w:div w:id="899753468">
      <w:bodyDiv w:val="1"/>
      <w:marLeft w:val="0"/>
      <w:marRight w:val="0"/>
      <w:marTop w:val="0"/>
      <w:marBottom w:val="0"/>
      <w:divBdr>
        <w:top w:val="none" w:sz="0" w:space="0" w:color="auto"/>
        <w:left w:val="none" w:sz="0" w:space="0" w:color="auto"/>
        <w:bottom w:val="none" w:sz="0" w:space="0" w:color="auto"/>
        <w:right w:val="none" w:sz="0" w:space="0" w:color="auto"/>
      </w:divBdr>
      <w:divsChild>
        <w:div w:id="545989462">
          <w:marLeft w:val="0"/>
          <w:marRight w:val="0"/>
          <w:marTop w:val="0"/>
          <w:marBottom w:val="120"/>
          <w:divBdr>
            <w:top w:val="none" w:sz="0" w:space="0" w:color="auto"/>
            <w:left w:val="none" w:sz="0" w:space="0" w:color="auto"/>
            <w:bottom w:val="none" w:sz="0" w:space="0" w:color="auto"/>
            <w:right w:val="none" w:sz="0" w:space="0" w:color="auto"/>
          </w:divBdr>
        </w:div>
      </w:divsChild>
    </w:div>
    <w:div w:id="943345818">
      <w:bodyDiv w:val="1"/>
      <w:marLeft w:val="0"/>
      <w:marRight w:val="0"/>
      <w:marTop w:val="0"/>
      <w:marBottom w:val="0"/>
      <w:divBdr>
        <w:top w:val="none" w:sz="0" w:space="0" w:color="auto"/>
        <w:left w:val="none" w:sz="0" w:space="0" w:color="auto"/>
        <w:bottom w:val="none" w:sz="0" w:space="0" w:color="auto"/>
        <w:right w:val="none" w:sz="0" w:space="0" w:color="auto"/>
      </w:divBdr>
    </w:div>
    <w:div w:id="993803727">
      <w:bodyDiv w:val="1"/>
      <w:marLeft w:val="0"/>
      <w:marRight w:val="0"/>
      <w:marTop w:val="0"/>
      <w:marBottom w:val="0"/>
      <w:divBdr>
        <w:top w:val="none" w:sz="0" w:space="0" w:color="auto"/>
        <w:left w:val="none" w:sz="0" w:space="0" w:color="auto"/>
        <w:bottom w:val="none" w:sz="0" w:space="0" w:color="auto"/>
        <w:right w:val="none" w:sz="0" w:space="0" w:color="auto"/>
      </w:divBdr>
    </w:div>
    <w:div w:id="1016420105">
      <w:bodyDiv w:val="1"/>
      <w:marLeft w:val="0"/>
      <w:marRight w:val="0"/>
      <w:marTop w:val="0"/>
      <w:marBottom w:val="0"/>
      <w:divBdr>
        <w:top w:val="none" w:sz="0" w:space="0" w:color="auto"/>
        <w:left w:val="none" w:sz="0" w:space="0" w:color="auto"/>
        <w:bottom w:val="none" w:sz="0" w:space="0" w:color="auto"/>
        <w:right w:val="none" w:sz="0" w:space="0" w:color="auto"/>
      </w:divBdr>
    </w:div>
    <w:div w:id="1841846332">
      <w:bodyDiv w:val="1"/>
      <w:marLeft w:val="0"/>
      <w:marRight w:val="0"/>
      <w:marTop w:val="0"/>
      <w:marBottom w:val="0"/>
      <w:divBdr>
        <w:top w:val="none" w:sz="0" w:space="0" w:color="auto"/>
        <w:left w:val="none" w:sz="0" w:space="0" w:color="auto"/>
        <w:bottom w:val="none" w:sz="0" w:space="0" w:color="auto"/>
        <w:right w:val="none" w:sz="0" w:space="0" w:color="auto"/>
      </w:divBdr>
    </w:div>
    <w:div w:id="1842817431">
      <w:bodyDiv w:val="1"/>
      <w:marLeft w:val="0"/>
      <w:marRight w:val="0"/>
      <w:marTop w:val="0"/>
      <w:marBottom w:val="0"/>
      <w:divBdr>
        <w:top w:val="none" w:sz="0" w:space="0" w:color="auto"/>
        <w:left w:val="none" w:sz="0" w:space="0" w:color="auto"/>
        <w:bottom w:val="none" w:sz="0" w:space="0" w:color="auto"/>
        <w:right w:val="none" w:sz="0" w:space="0" w:color="auto"/>
      </w:divBdr>
      <w:divsChild>
        <w:div w:id="571744511">
          <w:marLeft w:val="0"/>
          <w:marRight w:val="0"/>
          <w:marTop w:val="0"/>
          <w:marBottom w:val="120"/>
          <w:divBdr>
            <w:top w:val="none" w:sz="0" w:space="0" w:color="auto"/>
            <w:left w:val="none" w:sz="0" w:space="0" w:color="auto"/>
            <w:bottom w:val="none" w:sz="0" w:space="0" w:color="auto"/>
            <w:right w:val="none" w:sz="0" w:space="0" w:color="auto"/>
          </w:divBdr>
        </w:div>
      </w:divsChild>
    </w:div>
    <w:div w:id="1895654734">
      <w:bodyDiv w:val="1"/>
      <w:marLeft w:val="0"/>
      <w:marRight w:val="0"/>
      <w:marTop w:val="0"/>
      <w:marBottom w:val="0"/>
      <w:divBdr>
        <w:top w:val="none" w:sz="0" w:space="0" w:color="auto"/>
        <w:left w:val="none" w:sz="0" w:space="0" w:color="auto"/>
        <w:bottom w:val="none" w:sz="0" w:space="0" w:color="auto"/>
        <w:right w:val="none" w:sz="0" w:space="0" w:color="auto"/>
      </w:divBdr>
    </w:div>
    <w:div w:id="203792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doi.org/10.1177/1359105320937053" TargetMode="External"/><Relationship Id="rId18" Type="http://schemas.openxmlformats.org/officeDocument/2006/relationships/hyperlink" Target="https://doi.org/10.1177/1090198120935073"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i.org/10.1177/0163278716688065" TargetMode="External"/><Relationship Id="rId17" Type="http://schemas.openxmlformats.org/officeDocument/2006/relationships/hyperlink" Target="https://doi.org/10.1177/1524839915625037" TargetMode="External"/><Relationship Id="rId2" Type="http://schemas.openxmlformats.org/officeDocument/2006/relationships/numbering" Target="numbering.xml"/><Relationship Id="rId16" Type="http://schemas.openxmlformats.org/officeDocument/2006/relationships/hyperlink" Target="https://doi.org/10.1177/17579791665636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77/0020764020970996" TargetMode="External"/><Relationship Id="rId5" Type="http://schemas.openxmlformats.org/officeDocument/2006/relationships/webSettings" Target="webSettings.xml"/><Relationship Id="rId15" Type="http://schemas.openxmlformats.org/officeDocument/2006/relationships/hyperlink" Target="https://doi.org/10.1177/1557988318799159" TargetMode="External"/><Relationship Id="rId10" Type="http://schemas.openxmlformats.org/officeDocument/2006/relationships/hyperlink" Target="https://doi.org/10/1177/1524839916686029" TargetMode="External"/><Relationship Id="rId19" Type="http://schemas.openxmlformats.org/officeDocument/2006/relationships/hyperlink" Target="https://doi.org/10.1016/j.ij,edinf.2018.04.010" TargetMode="External"/><Relationship Id="rId4" Type="http://schemas.openxmlformats.org/officeDocument/2006/relationships/settings" Target="settings.xml"/><Relationship Id="rId9" Type="http://schemas.openxmlformats.org/officeDocument/2006/relationships/hyperlink" Target="https/doi.org/10.1777/14034948211022428" TargetMode="External"/><Relationship Id="rId14" Type="http://schemas.openxmlformats.org/officeDocument/2006/relationships/hyperlink" Target="https://doi.org/10.1177/07067427156166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C2B53-1DDC-4C6D-B963-4E3157037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8</Pages>
  <Words>2127</Words>
  <Characters>13800</Characters>
  <Application>Microsoft Office Word</Application>
  <DocSecurity>0</DocSecurity>
  <Lines>115</Lines>
  <Paragraphs>31</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15896</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dc:creator>
  <cp:lastModifiedBy>Sarah Sewell</cp:lastModifiedBy>
  <cp:revision>53</cp:revision>
  <dcterms:created xsi:type="dcterms:W3CDTF">2023-12-15T12:04:00Z</dcterms:created>
  <dcterms:modified xsi:type="dcterms:W3CDTF">2024-01-19T11:45:00Z</dcterms:modified>
</cp:coreProperties>
</file>