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002490" w14:textId="7A1C5AD5" w:rsidR="00AC6798" w:rsidRPr="00857730" w:rsidRDefault="00AC6798" w:rsidP="00857730">
      <w:pPr>
        <w:pStyle w:val="Title"/>
        <w:rPr>
          <w:rFonts w:cs="Arial"/>
        </w:rPr>
      </w:pPr>
      <w:r w:rsidRPr="00857730">
        <w:rPr>
          <w:rFonts w:cs="Arial"/>
        </w:rPr>
        <w:t>Lec</w:t>
      </w:r>
      <w:bookmarkStart w:id="0" w:name="_GoBack"/>
      <w:bookmarkEnd w:id="0"/>
      <w:r w:rsidRPr="00857730">
        <w:rPr>
          <w:rFonts w:cs="Arial"/>
        </w:rPr>
        <w:t>ture Notes</w:t>
      </w:r>
    </w:p>
    <w:p w14:paraId="41876262" w14:textId="01CABB22" w:rsidR="00CE3ED0" w:rsidRPr="00857730" w:rsidRDefault="00705800" w:rsidP="00AC6798">
      <w:pPr>
        <w:pStyle w:val="Heading1"/>
        <w:rPr>
          <w:rFonts w:cs="Arial"/>
        </w:rPr>
      </w:pPr>
      <w:r w:rsidRPr="00857730">
        <w:rPr>
          <w:rFonts w:cs="Arial"/>
        </w:rPr>
        <w:t xml:space="preserve">Chapter </w:t>
      </w:r>
      <w:r w:rsidR="00DB141D">
        <w:rPr>
          <w:rFonts w:cs="Arial"/>
        </w:rPr>
        <w:t>5</w:t>
      </w:r>
      <w:r w:rsidRPr="00857730">
        <w:rPr>
          <w:rFonts w:cs="Arial"/>
        </w:rPr>
        <w:t xml:space="preserve">: </w:t>
      </w:r>
      <w:r w:rsidR="00DB141D" w:rsidRPr="00DB141D">
        <w:rPr>
          <w:rFonts w:cs="Arial"/>
        </w:rPr>
        <w:t>Foundations of Freedom of Expression</w:t>
      </w:r>
    </w:p>
    <w:p w14:paraId="7132C174" w14:textId="77777777" w:rsidR="00AC6798" w:rsidRPr="00857730" w:rsidRDefault="00AC6798" w:rsidP="00A12BED">
      <w:pPr>
        <w:pStyle w:val="Heading2"/>
        <w:rPr>
          <w:rFonts w:cs="Arial"/>
        </w:rPr>
      </w:pPr>
      <w:r w:rsidRPr="00857730">
        <w:rPr>
          <w:rFonts w:cs="Arial"/>
        </w:rPr>
        <w:t>Annotated Chapter Outline</w:t>
      </w:r>
    </w:p>
    <w:p w14:paraId="43348257" w14:textId="1BDCBB2A" w:rsidR="00AC6798" w:rsidRDefault="005F03B3" w:rsidP="00AC6798">
      <w:pPr>
        <w:pStyle w:val="ListParagraph"/>
        <w:numPr>
          <w:ilvl w:val="0"/>
          <w:numId w:val="1"/>
        </w:numPr>
        <w:rPr>
          <w:rFonts w:ascii="Arial" w:hAnsi="Arial" w:cs="Arial"/>
        </w:rPr>
      </w:pPr>
      <w:r w:rsidRPr="005F03B3">
        <w:rPr>
          <w:rFonts w:ascii="Arial" w:hAnsi="Arial" w:cs="Arial"/>
        </w:rPr>
        <w:t>Free Expression in the Constitution</w:t>
      </w:r>
    </w:p>
    <w:p w14:paraId="2424FBD2" w14:textId="77777777" w:rsidR="00C263DF" w:rsidRPr="00C263DF" w:rsidRDefault="00C263DF" w:rsidP="00C263DF">
      <w:pPr>
        <w:pStyle w:val="ListParagraph"/>
        <w:numPr>
          <w:ilvl w:val="1"/>
          <w:numId w:val="1"/>
        </w:numPr>
        <w:rPr>
          <w:rFonts w:ascii="Arial" w:hAnsi="Arial" w:cs="Arial"/>
        </w:rPr>
      </w:pPr>
      <w:r w:rsidRPr="00C263DF">
        <w:rPr>
          <w:rFonts w:ascii="Arial" w:hAnsi="Arial" w:cs="Arial"/>
        </w:rPr>
        <w:t>After some tinkering with Madison’s language, Congress eventually agreed on the version we know today:</w:t>
      </w:r>
    </w:p>
    <w:p w14:paraId="197CD4BC" w14:textId="12E168F1" w:rsidR="00C263DF" w:rsidRDefault="00C263DF" w:rsidP="00C263DF">
      <w:pPr>
        <w:pStyle w:val="ListParagraph"/>
        <w:numPr>
          <w:ilvl w:val="2"/>
          <w:numId w:val="1"/>
        </w:numPr>
        <w:rPr>
          <w:rFonts w:ascii="Arial" w:hAnsi="Arial" w:cs="Arial"/>
        </w:rPr>
      </w:pPr>
      <w:r>
        <w:rPr>
          <w:rFonts w:ascii="Arial" w:hAnsi="Arial" w:cs="Arial"/>
        </w:rPr>
        <w:t>“</w:t>
      </w:r>
      <w:r w:rsidRPr="00C263DF">
        <w:rPr>
          <w:rFonts w:ascii="Arial" w:hAnsi="Arial" w:cs="Arial"/>
        </w:rPr>
        <w:t>Congress shall make no law . . . abridging the freedom of speech, or of the press; or the right of the people peaceably to assemble, and to petition the Government for a redress of grievances.</w:t>
      </w:r>
      <w:r>
        <w:rPr>
          <w:rFonts w:ascii="Arial" w:hAnsi="Arial" w:cs="Arial"/>
        </w:rPr>
        <w:t>”</w:t>
      </w:r>
    </w:p>
    <w:p w14:paraId="1152DF0B" w14:textId="3B914A9E" w:rsidR="00C263DF" w:rsidRDefault="00C263DF" w:rsidP="00C263DF">
      <w:pPr>
        <w:pStyle w:val="ListParagraph"/>
        <w:numPr>
          <w:ilvl w:val="1"/>
          <w:numId w:val="1"/>
        </w:numPr>
        <w:rPr>
          <w:rFonts w:ascii="Arial" w:hAnsi="Arial" w:cs="Arial"/>
        </w:rPr>
      </w:pPr>
      <w:r>
        <w:rPr>
          <w:rFonts w:ascii="Arial" w:hAnsi="Arial" w:cs="Arial"/>
        </w:rPr>
        <w:t>T</w:t>
      </w:r>
      <w:r w:rsidRPr="00C263DF">
        <w:rPr>
          <w:rFonts w:ascii="Arial" w:hAnsi="Arial" w:cs="Arial"/>
        </w:rPr>
        <w:t>hese four liberties—speech, press, assembly, and association—are the major sources of free expression in the Bill of Rights.</w:t>
      </w:r>
    </w:p>
    <w:p w14:paraId="31FDD075" w14:textId="7BD5870E" w:rsidR="00C263DF" w:rsidRDefault="00C263DF" w:rsidP="00C263DF">
      <w:pPr>
        <w:pStyle w:val="ListParagraph"/>
        <w:numPr>
          <w:ilvl w:val="1"/>
          <w:numId w:val="1"/>
        </w:numPr>
        <w:rPr>
          <w:rFonts w:ascii="Arial" w:hAnsi="Arial" w:cs="Arial"/>
        </w:rPr>
      </w:pPr>
      <w:r w:rsidRPr="00C263DF">
        <w:rPr>
          <w:rFonts w:ascii="Arial" w:hAnsi="Arial" w:cs="Arial"/>
        </w:rPr>
        <w:t>Benjamin Franklin said when asked about the meaning of free press, “Few of us, I believe, have distinct ideas about its nature and extent.”</w:t>
      </w:r>
    </w:p>
    <w:p w14:paraId="5C2E55DF" w14:textId="4BBB778A" w:rsidR="00C263DF" w:rsidRDefault="00C263DF" w:rsidP="00C263DF">
      <w:pPr>
        <w:pStyle w:val="ListParagraph"/>
        <w:numPr>
          <w:ilvl w:val="1"/>
          <w:numId w:val="1"/>
        </w:numPr>
        <w:rPr>
          <w:rFonts w:ascii="Arial" w:hAnsi="Arial" w:cs="Arial"/>
        </w:rPr>
      </w:pPr>
      <w:r w:rsidRPr="00C263DF">
        <w:rPr>
          <w:rFonts w:ascii="Arial" w:hAnsi="Arial" w:cs="Arial"/>
        </w:rPr>
        <w:t>Historians suggest that the expression guarantees were a response to two repressive practices in England.</w:t>
      </w:r>
    </w:p>
    <w:p w14:paraId="18F69F4B" w14:textId="14ADC8DF" w:rsidR="00C263DF" w:rsidRDefault="00C263DF" w:rsidP="00C263DF">
      <w:pPr>
        <w:pStyle w:val="ListParagraph"/>
        <w:numPr>
          <w:ilvl w:val="2"/>
          <w:numId w:val="1"/>
        </w:numPr>
        <w:rPr>
          <w:rFonts w:ascii="Arial" w:hAnsi="Arial" w:cs="Arial"/>
        </w:rPr>
      </w:pPr>
      <w:r w:rsidRPr="00C263DF">
        <w:rPr>
          <w:rFonts w:ascii="Arial" w:hAnsi="Arial" w:cs="Arial"/>
        </w:rPr>
        <w:t>The first was a licensing system under which nothing could be printed in England without prior approval from the government.</w:t>
      </w:r>
    </w:p>
    <w:p w14:paraId="0421D6A9" w14:textId="4109561E" w:rsidR="00C263DF" w:rsidRDefault="00C263DF" w:rsidP="00C263DF">
      <w:pPr>
        <w:pStyle w:val="ListParagraph"/>
        <w:numPr>
          <w:ilvl w:val="2"/>
          <w:numId w:val="1"/>
        </w:numPr>
        <w:rPr>
          <w:rFonts w:ascii="Arial" w:hAnsi="Arial" w:cs="Arial"/>
        </w:rPr>
      </w:pPr>
      <w:r>
        <w:rPr>
          <w:rFonts w:ascii="Arial" w:hAnsi="Arial" w:cs="Arial"/>
        </w:rPr>
        <w:t xml:space="preserve">The second </w:t>
      </w:r>
      <w:r w:rsidRPr="00C263DF">
        <w:rPr>
          <w:rFonts w:ascii="Arial" w:hAnsi="Arial" w:cs="Arial"/>
        </w:rPr>
        <w:t>was the doctrine of seditious libel law, which outlawed criticism of the government and government officials, including and perhaps especially the king.</w:t>
      </w:r>
    </w:p>
    <w:p w14:paraId="5ABC2C90" w14:textId="77777777" w:rsidR="00C263DF" w:rsidRDefault="00C263DF" w:rsidP="00C263DF">
      <w:pPr>
        <w:pStyle w:val="ListParagraph"/>
        <w:numPr>
          <w:ilvl w:val="1"/>
          <w:numId w:val="1"/>
        </w:numPr>
        <w:rPr>
          <w:rFonts w:ascii="Arial" w:hAnsi="Arial" w:cs="Arial"/>
        </w:rPr>
      </w:pPr>
      <w:r w:rsidRPr="00C263DF">
        <w:rPr>
          <w:rFonts w:ascii="Arial" w:hAnsi="Arial" w:cs="Arial"/>
        </w:rPr>
        <w:t>In the years immediately following adoption of the Constitution, the government was weak and vulnerable, the economy was in disarray, Europe continued to pose a threat, and the ruling Federalist Party was the target of much political criticism.</w:t>
      </w:r>
    </w:p>
    <w:p w14:paraId="456E422D" w14:textId="283029B1" w:rsidR="00C263DF" w:rsidRDefault="00C263DF" w:rsidP="00C263DF">
      <w:pPr>
        <w:pStyle w:val="ListParagraph"/>
        <w:numPr>
          <w:ilvl w:val="2"/>
          <w:numId w:val="1"/>
        </w:numPr>
        <w:rPr>
          <w:rFonts w:ascii="Arial" w:hAnsi="Arial" w:cs="Arial"/>
        </w:rPr>
      </w:pPr>
      <w:r w:rsidRPr="00C263DF">
        <w:rPr>
          <w:rFonts w:ascii="Arial" w:hAnsi="Arial" w:cs="Arial"/>
        </w:rPr>
        <w:t>In response, Congress passed one of the most restrictive laws in American history, the Sedition Act of 1798.</w:t>
      </w:r>
    </w:p>
    <w:p w14:paraId="0FEAFC07" w14:textId="77777777" w:rsidR="00C263DF" w:rsidRDefault="00C263DF" w:rsidP="00C263DF">
      <w:pPr>
        <w:pStyle w:val="ListParagraph"/>
        <w:numPr>
          <w:ilvl w:val="2"/>
          <w:numId w:val="1"/>
        </w:numPr>
        <w:rPr>
          <w:rFonts w:ascii="Arial" w:hAnsi="Arial" w:cs="Arial"/>
        </w:rPr>
      </w:pPr>
      <w:r w:rsidRPr="00C263DF">
        <w:rPr>
          <w:rFonts w:ascii="Arial" w:hAnsi="Arial" w:cs="Arial"/>
        </w:rPr>
        <w:t>This statute made it a crime to write, print, utter, or publish malicious material that would</w:t>
      </w:r>
      <w:r>
        <w:rPr>
          <w:rFonts w:ascii="Arial" w:hAnsi="Arial" w:cs="Arial"/>
        </w:rPr>
        <w:t>:</w:t>
      </w:r>
    </w:p>
    <w:p w14:paraId="7FC55877" w14:textId="77777777" w:rsidR="00C263DF" w:rsidRDefault="00C263DF" w:rsidP="00C263DF">
      <w:pPr>
        <w:pStyle w:val="ListParagraph"/>
        <w:numPr>
          <w:ilvl w:val="3"/>
          <w:numId w:val="1"/>
        </w:numPr>
        <w:rPr>
          <w:rFonts w:ascii="Arial" w:hAnsi="Arial" w:cs="Arial"/>
        </w:rPr>
      </w:pPr>
      <w:r>
        <w:rPr>
          <w:rFonts w:ascii="Arial" w:hAnsi="Arial" w:cs="Arial"/>
        </w:rPr>
        <w:t>D</w:t>
      </w:r>
      <w:r w:rsidRPr="00C263DF">
        <w:rPr>
          <w:rFonts w:ascii="Arial" w:hAnsi="Arial" w:cs="Arial"/>
        </w:rPr>
        <w:t>efame the federal government, the president, or the members of Congress</w:t>
      </w:r>
      <w:r>
        <w:rPr>
          <w:rFonts w:ascii="Arial" w:hAnsi="Arial" w:cs="Arial"/>
        </w:rPr>
        <w:t>.</w:t>
      </w:r>
    </w:p>
    <w:p w14:paraId="275EB92B" w14:textId="77777777" w:rsidR="00C263DF" w:rsidRDefault="00C263DF" w:rsidP="00C263DF">
      <w:pPr>
        <w:pStyle w:val="ListParagraph"/>
        <w:numPr>
          <w:ilvl w:val="3"/>
          <w:numId w:val="1"/>
        </w:numPr>
        <w:rPr>
          <w:rFonts w:ascii="Arial" w:hAnsi="Arial" w:cs="Arial"/>
        </w:rPr>
      </w:pPr>
      <w:r>
        <w:rPr>
          <w:rFonts w:ascii="Arial" w:hAnsi="Arial" w:cs="Arial"/>
        </w:rPr>
        <w:t>B</w:t>
      </w:r>
      <w:r w:rsidRPr="00C263DF">
        <w:rPr>
          <w:rFonts w:ascii="Arial" w:hAnsi="Arial" w:cs="Arial"/>
        </w:rPr>
        <w:t>ring them into disrepute</w:t>
      </w:r>
      <w:r>
        <w:rPr>
          <w:rFonts w:ascii="Arial" w:hAnsi="Arial" w:cs="Arial"/>
        </w:rPr>
        <w:t>.</w:t>
      </w:r>
    </w:p>
    <w:p w14:paraId="5026BCA2" w14:textId="2CC405B7" w:rsidR="00C263DF" w:rsidRDefault="00C263DF" w:rsidP="00C263DF">
      <w:pPr>
        <w:pStyle w:val="ListParagraph"/>
        <w:numPr>
          <w:ilvl w:val="3"/>
          <w:numId w:val="1"/>
        </w:numPr>
        <w:rPr>
          <w:rFonts w:ascii="Arial" w:hAnsi="Arial" w:cs="Arial"/>
        </w:rPr>
      </w:pPr>
      <w:r>
        <w:rPr>
          <w:rFonts w:ascii="Arial" w:hAnsi="Arial" w:cs="Arial"/>
        </w:rPr>
        <w:t>E</w:t>
      </w:r>
      <w:r w:rsidRPr="00C263DF">
        <w:rPr>
          <w:rFonts w:ascii="Arial" w:hAnsi="Arial" w:cs="Arial"/>
        </w:rPr>
        <w:t>xcite the hatred of the people against them.</w:t>
      </w:r>
    </w:p>
    <w:p w14:paraId="70AA3BAE" w14:textId="77777777" w:rsidR="00772127" w:rsidRDefault="00772127" w:rsidP="00772127">
      <w:pPr>
        <w:pStyle w:val="ListParagraph"/>
        <w:numPr>
          <w:ilvl w:val="2"/>
          <w:numId w:val="1"/>
        </w:numPr>
        <w:rPr>
          <w:rFonts w:ascii="Arial" w:hAnsi="Arial" w:cs="Arial"/>
        </w:rPr>
      </w:pPr>
      <w:r>
        <w:rPr>
          <w:rFonts w:ascii="Arial" w:hAnsi="Arial" w:cs="Arial"/>
        </w:rPr>
        <w:t>M</w:t>
      </w:r>
      <w:r w:rsidRPr="00772127">
        <w:rPr>
          <w:rFonts w:ascii="Arial" w:hAnsi="Arial" w:cs="Arial"/>
        </w:rPr>
        <w:t>any were critical of the Sedition Act.</w:t>
      </w:r>
    </w:p>
    <w:p w14:paraId="51CA7C02" w14:textId="77777777" w:rsidR="00772127" w:rsidRDefault="00772127" w:rsidP="00772127">
      <w:pPr>
        <w:pStyle w:val="ListParagraph"/>
        <w:numPr>
          <w:ilvl w:val="2"/>
          <w:numId w:val="1"/>
        </w:numPr>
        <w:rPr>
          <w:rFonts w:ascii="Arial" w:hAnsi="Arial" w:cs="Arial"/>
        </w:rPr>
      </w:pPr>
      <w:r w:rsidRPr="00772127">
        <w:rPr>
          <w:rFonts w:ascii="Arial" w:hAnsi="Arial" w:cs="Arial"/>
        </w:rPr>
        <w:t>James Madison and Thomas Jefferson, in particular, expressed their belief that the law violated the Constitution.</w:t>
      </w:r>
    </w:p>
    <w:p w14:paraId="06339A4E" w14:textId="6C4C9A5B" w:rsidR="00772127" w:rsidRDefault="00772127" w:rsidP="00772127">
      <w:pPr>
        <w:pStyle w:val="ListParagraph"/>
        <w:numPr>
          <w:ilvl w:val="2"/>
          <w:numId w:val="1"/>
        </w:numPr>
        <w:rPr>
          <w:rFonts w:ascii="Arial" w:hAnsi="Arial" w:cs="Arial"/>
        </w:rPr>
      </w:pPr>
      <w:r w:rsidRPr="00772127">
        <w:rPr>
          <w:rFonts w:ascii="Arial" w:hAnsi="Arial" w:cs="Arial"/>
        </w:rPr>
        <w:t>The act expired in 1801, however, and the Supreme Court never had the opportunity to evaluate its validity.</w:t>
      </w:r>
    </w:p>
    <w:p w14:paraId="47833C73" w14:textId="6479D114" w:rsidR="00772127" w:rsidRDefault="00772127" w:rsidP="00772127">
      <w:pPr>
        <w:pStyle w:val="ListParagraph"/>
        <w:numPr>
          <w:ilvl w:val="1"/>
          <w:numId w:val="1"/>
        </w:numPr>
        <w:rPr>
          <w:rFonts w:ascii="Arial" w:hAnsi="Arial" w:cs="Arial"/>
        </w:rPr>
      </w:pPr>
      <w:r w:rsidRPr="00772127">
        <w:rPr>
          <w:rFonts w:ascii="Arial" w:hAnsi="Arial" w:cs="Arial"/>
        </w:rPr>
        <w:t>Against this historical backdrop, it is hard to know whether, as it is sometimes presumed, the First Amendment was designed to eliminate seditious libel laws.</w:t>
      </w:r>
    </w:p>
    <w:p w14:paraId="12688660" w14:textId="4E363166" w:rsidR="005F03B3" w:rsidRDefault="005F03B3" w:rsidP="00AC6798">
      <w:pPr>
        <w:pStyle w:val="ListParagraph"/>
        <w:numPr>
          <w:ilvl w:val="0"/>
          <w:numId w:val="1"/>
        </w:numPr>
        <w:rPr>
          <w:rFonts w:ascii="Arial" w:hAnsi="Arial" w:cs="Arial"/>
        </w:rPr>
      </w:pPr>
      <w:r w:rsidRPr="005F03B3">
        <w:rPr>
          <w:rFonts w:ascii="Arial" w:hAnsi="Arial" w:cs="Arial"/>
        </w:rPr>
        <w:t>Justifications for Protecting Expression</w:t>
      </w:r>
    </w:p>
    <w:p w14:paraId="0D50DC18" w14:textId="5EB40FCF" w:rsidR="00772127" w:rsidRDefault="00772127" w:rsidP="00772127">
      <w:pPr>
        <w:pStyle w:val="ListParagraph"/>
        <w:numPr>
          <w:ilvl w:val="1"/>
          <w:numId w:val="1"/>
        </w:numPr>
        <w:rPr>
          <w:rFonts w:ascii="Arial" w:hAnsi="Arial" w:cs="Arial"/>
        </w:rPr>
      </w:pPr>
      <w:r>
        <w:rPr>
          <w:rFonts w:ascii="Arial" w:hAnsi="Arial" w:cs="Arial"/>
        </w:rPr>
        <w:lastRenderedPageBreak/>
        <w:t>T</w:t>
      </w:r>
      <w:r w:rsidRPr="00772127">
        <w:rPr>
          <w:rFonts w:ascii="Arial" w:hAnsi="Arial" w:cs="Arial"/>
        </w:rPr>
        <w:t>hree justifications for protecting expression have moved to the fore</w:t>
      </w:r>
      <w:r>
        <w:rPr>
          <w:rFonts w:ascii="Arial" w:hAnsi="Arial" w:cs="Arial"/>
        </w:rPr>
        <w:t>.</w:t>
      </w:r>
    </w:p>
    <w:p w14:paraId="79AA8E5E" w14:textId="7DBD2DEE" w:rsidR="00772127" w:rsidRDefault="00772127" w:rsidP="00772127">
      <w:pPr>
        <w:pStyle w:val="ListParagraph"/>
        <w:numPr>
          <w:ilvl w:val="1"/>
          <w:numId w:val="1"/>
        </w:numPr>
        <w:rPr>
          <w:rFonts w:ascii="Arial" w:hAnsi="Arial" w:cs="Arial"/>
        </w:rPr>
      </w:pPr>
      <w:r w:rsidRPr="00772127">
        <w:rPr>
          <w:rFonts w:ascii="Arial" w:hAnsi="Arial" w:cs="Arial"/>
        </w:rPr>
        <w:t>First</w:t>
      </w:r>
      <w:r>
        <w:rPr>
          <w:rFonts w:ascii="Arial" w:hAnsi="Arial" w:cs="Arial"/>
        </w:rPr>
        <w:t xml:space="preserve"> </w:t>
      </w:r>
      <w:r w:rsidRPr="00772127">
        <w:rPr>
          <w:rFonts w:ascii="Arial" w:hAnsi="Arial" w:cs="Arial"/>
        </w:rPr>
        <w:t>is the idea that free expression aids in the discovery of “truth.”</w:t>
      </w:r>
    </w:p>
    <w:p w14:paraId="1E44E942" w14:textId="4BA6A9D4" w:rsidR="00772127" w:rsidRDefault="00772127" w:rsidP="00772127">
      <w:pPr>
        <w:pStyle w:val="ListParagraph"/>
        <w:numPr>
          <w:ilvl w:val="2"/>
          <w:numId w:val="1"/>
        </w:numPr>
        <w:rPr>
          <w:rFonts w:ascii="Arial" w:hAnsi="Arial" w:cs="Arial"/>
        </w:rPr>
      </w:pPr>
      <w:r>
        <w:rPr>
          <w:rFonts w:ascii="Arial" w:hAnsi="Arial" w:cs="Arial"/>
        </w:rPr>
        <w:t>T</w:t>
      </w:r>
      <w:r w:rsidRPr="00772127">
        <w:rPr>
          <w:rFonts w:ascii="Arial" w:hAnsi="Arial" w:cs="Arial"/>
        </w:rPr>
        <w:t>he point of the First Amendment is “to preserve an uninhibited marketplace of ideas”—a competition of ideas—in which truth will ultimately prevail.</w:t>
      </w:r>
    </w:p>
    <w:p w14:paraId="4675FCCB" w14:textId="479BAF71" w:rsidR="00772127" w:rsidRDefault="00772127" w:rsidP="00772127">
      <w:pPr>
        <w:pStyle w:val="ListParagraph"/>
        <w:numPr>
          <w:ilvl w:val="2"/>
          <w:numId w:val="1"/>
        </w:numPr>
        <w:rPr>
          <w:rFonts w:ascii="Arial" w:hAnsi="Arial" w:cs="Arial"/>
        </w:rPr>
      </w:pPr>
      <w:r w:rsidRPr="00772127">
        <w:rPr>
          <w:rFonts w:ascii="Arial" w:hAnsi="Arial" w:cs="Arial"/>
        </w:rPr>
        <w:t xml:space="preserve">One problem is that </w:t>
      </w:r>
      <w:r>
        <w:rPr>
          <w:rFonts w:ascii="Arial" w:hAnsi="Arial" w:cs="Arial"/>
        </w:rPr>
        <w:t>this justification</w:t>
      </w:r>
      <w:r w:rsidRPr="00772127">
        <w:rPr>
          <w:rFonts w:ascii="Arial" w:hAnsi="Arial" w:cs="Arial"/>
        </w:rPr>
        <w:t xml:space="preserve"> assumes “truth” must emerge from a competition among different ideas.</w:t>
      </w:r>
    </w:p>
    <w:p w14:paraId="6B48877A" w14:textId="4C94996D" w:rsidR="00772127" w:rsidRDefault="00772127" w:rsidP="00772127">
      <w:pPr>
        <w:pStyle w:val="ListParagraph"/>
        <w:numPr>
          <w:ilvl w:val="3"/>
          <w:numId w:val="1"/>
        </w:numPr>
        <w:rPr>
          <w:rFonts w:ascii="Arial" w:hAnsi="Arial" w:cs="Arial"/>
        </w:rPr>
      </w:pPr>
      <w:r>
        <w:rPr>
          <w:rFonts w:ascii="Arial" w:hAnsi="Arial" w:cs="Arial"/>
        </w:rPr>
        <w:t>S</w:t>
      </w:r>
      <w:r w:rsidRPr="00772127">
        <w:rPr>
          <w:rFonts w:ascii="Arial" w:hAnsi="Arial" w:cs="Arial"/>
        </w:rPr>
        <w:t>ome “ideas” or “beliefs” are simply facts.</w:t>
      </w:r>
    </w:p>
    <w:p w14:paraId="49244DE6" w14:textId="7EC85F20" w:rsidR="00772127" w:rsidRDefault="00772127" w:rsidP="00772127">
      <w:pPr>
        <w:pStyle w:val="ListParagraph"/>
        <w:numPr>
          <w:ilvl w:val="2"/>
          <w:numId w:val="1"/>
        </w:numPr>
        <w:rPr>
          <w:rFonts w:ascii="Arial" w:hAnsi="Arial" w:cs="Arial"/>
        </w:rPr>
      </w:pPr>
      <w:r w:rsidRPr="00772127">
        <w:rPr>
          <w:rFonts w:ascii="Arial" w:hAnsi="Arial" w:cs="Arial"/>
        </w:rPr>
        <w:t>Another problem is that even for ideas tested and ultimately adjudged false, a long marketplace competition can produce “irreversible harm.”</w:t>
      </w:r>
    </w:p>
    <w:p w14:paraId="670788BF" w14:textId="443FD7F6" w:rsidR="00772127" w:rsidRDefault="00772127" w:rsidP="00772127">
      <w:pPr>
        <w:pStyle w:val="ListParagraph"/>
        <w:numPr>
          <w:ilvl w:val="2"/>
          <w:numId w:val="1"/>
        </w:numPr>
        <w:rPr>
          <w:rFonts w:ascii="Arial" w:hAnsi="Arial" w:cs="Arial"/>
        </w:rPr>
      </w:pPr>
      <w:r w:rsidRPr="00772127">
        <w:rPr>
          <w:rFonts w:ascii="Arial" w:hAnsi="Arial" w:cs="Arial"/>
        </w:rPr>
        <w:t>Finally, some scholars assert that the very idea that the marketplace always and ultimately produces truth is doubtful.</w:t>
      </w:r>
    </w:p>
    <w:p w14:paraId="1E0869AE" w14:textId="4EFECBED" w:rsidR="00772127" w:rsidRDefault="00772127" w:rsidP="00772127">
      <w:pPr>
        <w:pStyle w:val="ListParagraph"/>
        <w:numPr>
          <w:ilvl w:val="1"/>
          <w:numId w:val="1"/>
        </w:numPr>
        <w:rPr>
          <w:rFonts w:ascii="Arial" w:hAnsi="Arial" w:cs="Arial"/>
        </w:rPr>
      </w:pPr>
      <w:r>
        <w:rPr>
          <w:rFonts w:ascii="Arial" w:hAnsi="Arial" w:cs="Arial"/>
        </w:rPr>
        <w:t xml:space="preserve">A second justification </w:t>
      </w:r>
      <w:r w:rsidRPr="00772127">
        <w:rPr>
          <w:rFonts w:ascii="Arial" w:hAnsi="Arial" w:cs="Arial"/>
        </w:rPr>
        <w:t>centers on the importance of expression for the maintenance of a democratic system of government</w:t>
      </w:r>
      <w:r>
        <w:rPr>
          <w:rFonts w:ascii="Arial" w:hAnsi="Arial" w:cs="Arial"/>
        </w:rPr>
        <w:t>.</w:t>
      </w:r>
    </w:p>
    <w:p w14:paraId="0A2D997A" w14:textId="48335CF0" w:rsidR="00772127" w:rsidRDefault="00772127" w:rsidP="00772127">
      <w:pPr>
        <w:pStyle w:val="ListParagraph"/>
        <w:numPr>
          <w:ilvl w:val="2"/>
          <w:numId w:val="1"/>
        </w:numPr>
        <w:rPr>
          <w:rFonts w:ascii="Arial" w:hAnsi="Arial" w:cs="Arial"/>
        </w:rPr>
      </w:pPr>
      <w:r>
        <w:rPr>
          <w:rFonts w:ascii="Arial" w:hAnsi="Arial" w:cs="Arial"/>
        </w:rPr>
        <w:t>T</w:t>
      </w:r>
      <w:r w:rsidRPr="00772127">
        <w:rPr>
          <w:rFonts w:ascii="Arial" w:hAnsi="Arial" w:cs="Arial"/>
        </w:rPr>
        <w:t>he self-governance rationale privileges political speech on the theory that democracy thrives when there is open, unfettered discussion, including criticism of government officials.</w:t>
      </w:r>
    </w:p>
    <w:p w14:paraId="53BFD5BC" w14:textId="29F3FEB1" w:rsidR="00772127" w:rsidRDefault="00772127" w:rsidP="00772127">
      <w:pPr>
        <w:pStyle w:val="ListParagraph"/>
        <w:numPr>
          <w:ilvl w:val="2"/>
          <w:numId w:val="1"/>
        </w:numPr>
        <w:rPr>
          <w:rFonts w:ascii="Arial" w:hAnsi="Arial" w:cs="Arial"/>
        </w:rPr>
      </w:pPr>
      <w:r>
        <w:rPr>
          <w:rFonts w:ascii="Arial" w:hAnsi="Arial" w:cs="Arial"/>
        </w:rPr>
        <w:t>M</w:t>
      </w:r>
      <w:r w:rsidRPr="00772127">
        <w:rPr>
          <w:rFonts w:ascii="Arial" w:hAnsi="Arial" w:cs="Arial"/>
        </w:rPr>
        <w:t>any commentators bristle at the idea that political speech is the only expression deserving of protection under the amendment</w:t>
      </w:r>
      <w:r>
        <w:rPr>
          <w:rFonts w:ascii="Arial" w:hAnsi="Arial" w:cs="Arial"/>
        </w:rPr>
        <w:t>.</w:t>
      </w:r>
    </w:p>
    <w:p w14:paraId="614ED793" w14:textId="37891BE9" w:rsidR="00772127" w:rsidRDefault="00772127" w:rsidP="00772127">
      <w:pPr>
        <w:pStyle w:val="ListParagraph"/>
        <w:numPr>
          <w:ilvl w:val="1"/>
          <w:numId w:val="1"/>
        </w:numPr>
        <w:rPr>
          <w:rFonts w:ascii="Arial" w:hAnsi="Arial" w:cs="Arial"/>
        </w:rPr>
      </w:pPr>
      <w:r w:rsidRPr="00772127">
        <w:rPr>
          <w:rFonts w:ascii="Arial" w:hAnsi="Arial" w:cs="Arial"/>
        </w:rPr>
        <w:t>A third rationale for free speech, sometimes called “self-fulfillment,” is almost the polar opposite of the self-governance justification.</w:t>
      </w:r>
    </w:p>
    <w:p w14:paraId="0C857DF2" w14:textId="578E8911" w:rsidR="00772127" w:rsidRDefault="00A37B1A" w:rsidP="00772127">
      <w:pPr>
        <w:pStyle w:val="ListParagraph"/>
        <w:numPr>
          <w:ilvl w:val="2"/>
          <w:numId w:val="1"/>
        </w:numPr>
        <w:rPr>
          <w:rFonts w:ascii="Arial" w:hAnsi="Arial" w:cs="Arial"/>
        </w:rPr>
      </w:pPr>
      <w:r>
        <w:rPr>
          <w:rFonts w:ascii="Arial" w:hAnsi="Arial" w:cs="Arial"/>
        </w:rPr>
        <w:t>“</w:t>
      </w:r>
      <w:r w:rsidRPr="00A37B1A">
        <w:rPr>
          <w:rFonts w:ascii="Arial" w:hAnsi="Arial" w:cs="Arial"/>
        </w:rPr>
        <w:t>[</w:t>
      </w:r>
      <w:r>
        <w:rPr>
          <w:rFonts w:ascii="Arial" w:hAnsi="Arial" w:cs="Arial"/>
        </w:rPr>
        <w:t>E</w:t>
      </w:r>
      <w:r w:rsidRPr="00A37B1A">
        <w:rPr>
          <w:rFonts w:ascii="Arial" w:hAnsi="Arial" w:cs="Arial"/>
        </w:rPr>
        <w:t>]very [person]—in the development of their own personality—has the right to form [their] own beliefs and opinions. And, it also follows, that [they have] the right to express these beliefs and opinions. Otherwise they are of little account. For expression is an integral part of the development of ideas, of mental exploration and of the affirmation of self.</w:t>
      </w:r>
      <w:r>
        <w:rPr>
          <w:rFonts w:ascii="Arial" w:hAnsi="Arial" w:cs="Arial"/>
        </w:rPr>
        <w:t>”</w:t>
      </w:r>
    </w:p>
    <w:p w14:paraId="116E809E" w14:textId="4DEC113B" w:rsidR="00A37B1A" w:rsidRDefault="00A37B1A" w:rsidP="00772127">
      <w:pPr>
        <w:pStyle w:val="ListParagraph"/>
        <w:numPr>
          <w:ilvl w:val="2"/>
          <w:numId w:val="1"/>
        </w:numPr>
        <w:rPr>
          <w:rFonts w:ascii="Arial" w:hAnsi="Arial" w:cs="Arial"/>
        </w:rPr>
      </w:pPr>
      <w:r>
        <w:rPr>
          <w:rFonts w:ascii="Arial" w:hAnsi="Arial" w:cs="Arial"/>
        </w:rPr>
        <w:t>S</w:t>
      </w:r>
      <w:r w:rsidRPr="00A37B1A">
        <w:rPr>
          <w:rFonts w:ascii="Arial" w:hAnsi="Arial" w:cs="Arial"/>
        </w:rPr>
        <w:t>ome commentators</w:t>
      </w:r>
      <w:r>
        <w:rPr>
          <w:rFonts w:ascii="Arial" w:hAnsi="Arial" w:cs="Arial"/>
        </w:rPr>
        <w:t xml:space="preserve"> ask w</w:t>
      </w:r>
      <w:r w:rsidRPr="00A37B1A">
        <w:rPr>
          <w:rFonts w:ascii="Arial" w:hAnsi="Arial" w:cs="Arial"/>
        </w:rPr>
        <w:t>hy the liberty to communicate freely should receive more protection than any other human activity from which people derive benefit or satisfaction</w:t>
      </w:r>
      <w:r>
        <w:rPr>
          <w:rFonts w:ascii="Arial" w:hAnsi="Arial" w:cs="Arial"/>
        </w:rPr>
        <w:t>.</w:t>
      </w:r>
    </w:p>
    <w:p w14:paraId="7693DC1B" w14:textId="5DB6923D" w:rsidR="005F03B3" w:rsidRDefault="005F03B3" w:rsidP="00AC6798">
      <w:pPr>
        <w:pStyle w:val="ListParagraph"/>
        <w:numPr>
          <w:ilvl w:val="0"/>
          <w:numId w:val="1"/>
        </w:numPr>
        <w:rPr>
          <w:rFonts w:ascii="Arial" w:hAnsi="Arial" w:cs="Arial"/>
        </w:rPr>
      </w:pPr>
      <w:r w:rsidRPr="005F03B3">
        <w:rPr>
          <w:rFonts w:ascii="Arial" w:hAnsi="Arial" w:cs="Arial"/>
        </w:rPr>
        <w:t>Setting the Stage for Free Expression in the Supreme Court</w:t>
      </w:r>
    </w:p>
    <w:p w14:paraId="52135EDB" w14:textId="038924DB" w:rsidR="00A37B1A" w:rsidRDefault="00A37B1A" w:rsidP="00A37B1A">
      <w:pPr>
        <w:pStyle w:val="ListParagraph"/>
        <w:numPr>
          <w:ilvl w:val="1"/>
          <w:numId w:val="1"/>
        </w:numPr>
        <w:rPr>
          <w:rFonts w:ascii="Arial" w:hAnsi="Arial" w:cs="Arial"/>
        </w:rPr>
      </w:pPr>
      <w:r w:rsidRPr="00A37B1A">
        <w:rPr>
          <w:rFonts w:ascii="Arial" w:hAnsi="Arial" w:cs="Arial"/>
        </w:rPr>
        <w:t>During the nation’s first century, the Court faced no significant disputes over freedom of expression.</w:t>
      </w:r>
    </w:p>
    <w:p w14:paraId="1ED03D5B" w14:textId="03905194" w:rsidR="00A37B1A" w:rsidRDefault="00A37B1A" w:rsidP="00A37B1A">
      <w:pPr>
        <w:pStyle w:val="ListParagraph"/>
        <w:numPr>
          <w:ilvl w:val="1"/>
          <w:numId w:val="1"/>
        </w:numPr>
        <w:rPr>
          <w:rFonts w:ascii="Arial" w:hAnsi="Arial" w:cs="Arial"/>
        </w:rPr>
      </w:pPr>
      <w:r w:rsidRPr="00A37B1A">
        <w:rPr>
          <w:rFonts w:ascii="Arial" w:hAnsi="Arial" w:cs="Arial"/>
        </w:rPr>
        <w:t>That changed with the outbreak of World War I in 1914 and the 1917 communist revolution in Russia.</w:t>
      </w:r>
    </w:p>
    <w:p w14:paraId="547FCF77" w14:textId="45A9A5D9" w:rsidR="00D1022E" w:rsidRDefault="00D1022E" w:rsidP="00D1022E">
      <w:pPr>
        <w:pStyle w:val="ListParagraph"/>
        <w:numPr>
          <w:ilvl w:val="2"/>
          <w:numId w:val="1"/>
        </w:numPr>
        <w:rPr>
          <w:rFonts w:ascii="Arial" w:hAnsi="Arial" w:cs="Arial"/>
        </w:rPr>
      </w:pPr>
      <w:r w:rsidRPr="00D1022E">
        <w:rPr>
          <w:rFonts w:ascii="Arial" w:hAnsi="Arial" w:cs="Arial"/>
        </w:rPr>
        <w:t>The Espionage Act of 1917 prohibited any attempt to “interfere with the operation or success of the military or naval forces of the United States . . . to cause insubordination . . . in the military or naval forces . . . or willfully obstruct the recruiting or enlistment service of the United States.”</w:t>
      </w:r>
    </w:p>
    <w:p w14:paraId="6962FE32" w14:textId="62ABD1F4" w:rsidR="00D1022E" w:rsidRDefault="00D1022E" w:rsidP="00D1022E">
      <w:pPr>
        <w:pStyle w:val="ListParagraph"/>
        <w:numPr>
          <w:ilvl w:val="2"/>
          <w:numId w:val="1"/>
        </w:numPr>
        <w:rPr>
          <w:rFonts w:ascii="Arial" w:hAnsi="Arial" w:cs="Arial"/>
        </w:rPr>
      </w:pPr>
      <w:r>
        <w:rPr>
          <w:rFonts w:ascii="Arial" w:hAnsi="Arial" w:cs="Arial"/>
        </w:rPr>
        <w:t>T</w:t>
      </w:r>
      <w:r w:rsidRPr="00D1022E">
        <w:rPr>
          <w:rFonts w:ascii="Arial" w:hAnsi="Arial" w:cs="Arial"/>
        </w:rPr>
        <w:t>he Sedition Act prohibited the uttering, writing, or publishing of anything disloyal to the government, flag, or military forces of the United States.</w:t>
      </w:r>
    </w:p>
    <w:p w14:paraId="1849DE93" w14:textId="7C34E05C" w:rsidR="00D1022E" w:rsidRDefault="00D1022E" w:rsidP="00D1022E">
      <w:pPr>
        <w:pStyle w:val="ListParagraph"/>
        <w:numPr>
          <w:ilvl w:val="1"/>
          <w:numId w:val="1"/>
        </w:numPr>
        <w:rPr>
          <w:rFonts w:ascii="Arial" w:hAnsi="Arial" w:cs="Arial"/>
        </w:rPr>
      </w:pPr>
      <w:r>
        <w:rPr>
          <w:rFonts w:ascii="Arial" w:hAnsi="Arial" w:cs="Arial"/>
        </w:rPr>
        <w:t>S</w:t>
      </w:r>
      <w:r w:rsidRPr="00D1022E">
        <w:rPr>
          <w:rFonts w:ascii="Arial" w:hAnsi="Arial" w:cs="Arial"/>
        </w:rPr>
        <w:t>ome groups and individuals thought the</w:t>
      </w:r>
      <w:r>
        <w:rPr>
          <w:rFonts w:ascii="Arial" w:hAnsi="Arial" w:cs="Arial"/>
        </w:rPr>
        <w:t>se laws</w:t>
      </w:r>
      <w:r w:rsidRPr="00D1022E">
        <w:rPr>
          <w:rFonts w:ascii="Arial" w:hAnsi="Arial" w:cs="Arial"/>
        </w:rPr>
        <w:t xml:space="preserve"> constituted intolerable infringements on civil liberties guarantees contained in the First Amendment.</w:t>
      </w:r>
    </w:p>
    <w:p w14:paraId="1980040D" w14:textId="77777777" w:rsidR="00D1022E" w:rsidRDefault="00D1022E" w:rsidP="00D1022E">
      <w:pPr>
        <w:pStyle w:val="ListParagraph"/>
        <w:numPr>
          <w:ilvl w:val="2"/>
          <w:numId w:val="1"/>
        </w:numPr>
        <w:rPr>
          <w:rFonts w:ascii="Arial" w:hAnsi="Arial" w:cs="Arial"/>
        </w:rPr>
      </w:pPr>
      <w:r w:rsidRPr="00D1022E">
        <w:rPr>
          <w:rFonts w:ascii="Arial" w:hAnsi="Arial" w:cs="Arial"/>
        </w:rPr>
        <w:t>Some were blatantly pacifist</w:t>
      </w:r>
      <w:r>
        <w:rPr>
          <w:rFonts w:ascii="Arial" w:hAnsi="Arial" w:cs="Arial"/>
        </w:rPr>
        <w:t>.</w:t>
      </w:r>
    </w:p>
    <w:p w14:paraId="30078C85" w14:textId="31C123A3" w:rsidR="00D1022E" w:rsidRDefault="00D1022E" w:rsidP="00D1022E">
      <w:pPr>
        <w:pStyle w:val="ListParagraph"/>
        <w:numPr>
          <w:ilvl w:val="2"/>
          <w:numId w:val="1"/>
        </w:numPr>
        <w:rPr>
          <w:rFonts w:ascii="Arial" w:hAnsi="Arial" w:cs="Arial"/>
        </w:rPr>
      </w:pPr>
      <w:r>
        <w:rPr>
          <w:rFonts w:ascii="Arial" w:hAnsi="Arial" w:cs="Arial"/>
        </w:rPr>
        <w:t>O</w:t>
      </w:r>
      <w:r w:rsidRPr="00D1022E">
        <w:rPr>
          <w:rFonts w:ascii="Arial" w:hAnsi="Arial" w:cs="Arial"/>
        </w:rPr>
        <w:t>thers were pure civil libertarians</w:t>
      </w:r>
      <w:r>
        <w:rPr>
          <w:rFonts w:ascii="Arial" w:hAnsi="Arial" w:cs="Arial"/>
        </w:rPr>
        <w:t>.</w:t>
      </w:r>
    </w:p>
    <w:p w14:paraId="43549FA1" w14:textId="1C151FFE" w:rsidR="00D1022E" w:rsidRDefault="00D1022E" w:rsidP="00D1022E">
      <w:pPr>
        <w:pStyle w:val="ListParagraph"/>
        <w:numPr>
          <w:ilvl w:val="2"/>
          <w:numId w:val="1"/>
        </w:numPr>
        <w:rPr>
          <w:rFonts w:ascii="Arial" w:hAnsi="Arial" w:cs="Arial"/>
        </w:rPr>
      </w:pPr>
      <w:r>
        <w:rPr>
          <w:rFonts w:ascii="Arial" w:hAnsi="Arial" w:cs="Arial"/>
        </w:rPr>
        <w:lastRenderedPageBreak/>
        <w:t>F</w:t>
      </w:r>
      <w:r w:rsidRPr="00D1022E">
        <w:rPr>
          <w:rFonts w:ascii="Arial" w:hAnsi="Arial" w:cs="Arial"/>
        </w:rPr>
        <w:t>inally, there were individuals who hoped to see the United States undergo a socialist or communist revolution</w:t>
      </w:r>
      <w:r>
        <w:rPr>
          <w:rFonts w:ascii="Arial" w:hAnsi="Arial" w:cs="Arial"/>
        </w:rPr>
        <w:t>.</w:t>
      </w:r>
    </w:p>
    <w:p w14:paraId="28432E23" w14:textId="4E42B5C1" w:rsidR="00D1022E" w:rsidRDefault="00D1022E" w:rsidP="00D1022E">
      <w:pPr>
        <w:pStyle w:val="ListParagraph"/>
        <w:numPr>
          <w:ilvl w:val="1"/>
          <w:numId w:val="1"/>
        </w:numPr>
        <w:rPr>
          <w:rFonts w:ascii="Arial" w:hAnsi="Arial" w:cs="Arial"/>
        </w:rPr>
      </w:pPr>
      <w:r>
        <w:rPr>
          <w:rFonts w:ascii="Arial" w:hAnsi="Arial" w:cs="Arial"/>
        </w:rPr>
        <w:t>T</w:t>
      </w:r>
      <w:r w:rsidRPr="00D1022E">
        <w:rPr>
          <w:rFonts w:ascii="Arial" w:hAnsi="Arial" w:cs="Arial"/>
        </w:rPr>
        <w:t>hese various interests brought legal challenges to the repressive laws and pushed the Supreme Court into the freedom of expression realm for the first time.</w:t>
      </w:r>
    </w:p>
    <w:p w14:paraId="20E343E5" w14:textId="3D97FFC8" w:rsidR="005F03B3" w:rsidRDefault="005F03B3" w:rsidP="00AC6798">
      <w:pPr>
        <w:pStyle w:val="ListParagraph"/>
        <w:numPr>
          <w:ilvl w:val="0"/>
          <w:numId w:val="1"/>
        </w:numPr>
        <w:rPr>
          <w:rFonts w:ascii="Arial" w:hAnsi="Arial" w:cs="Arial"/>
        </w:rPr>
      </w:pPr>
      <w:r w:rsidRPr="005F03B3">
        <w:rPr>
          <w:rFonts w:ascii="Arial" w:hAnsi="Arial" w:cs="Arial"/>
        </w:rPr>
        <w:t>Free Expression and the Incitement of Lawless Action</w:t>
      </w:r>
    </w:p>
    <w:p w14:paraId="688C13E0" w14:textId="77777777" w:rsidR="00D1022E" w:rsidRDefault="00D1022E" w:rsidP="00D1022E">
      <w:pPr>
        <w:pStyle w:val="ListParagraph"/>
        <w:numPr>
          <w:ilvl w:val="1"/>
          <w:numId w:val="1"/>
        </w:numPr>
        <w:rPr>
          <w:rFonts w:ascii="Arial" w:hAnsi="Arial" w:cs="Arial"/>
        </w:rPr>
      </w:pPr>
      <w:r w:rsidRPr="00D1022E">
        <w:rPr>
          <w:rFonts w:ascii="Arial" w:hAnsi="Arial" w:cs="Arial"/>
        </w:rPr>
        <w:t xml:space="preserve">Expression cases </w:t>
      </w:r>
      <w:r>
        <w:rPr>
          <w:rFonts w:ascii="Arial" w:hAnsi="Arial" w:cs="Arial"/>
        </w:rPr>
        <w:t xml:space="preserve">dealt </w:t>
      </w:r>
      <w:r w:rsidRPr="00D1022E">
        <w:rPr>
          <w:rFonts w:ascii="Arial" w:hAnsi="Arial" w:cs="Arial"/>
        </w:rPr>
        <w:t>mainly with the questions of whether and to what extent the government can prevent speech on the ground that it may</w:t>
      </w:r>
      <w:r>
        <w:rPr>
          <w:rFonts w:ascii="Arial" w:hAnsi="Arial" w:cs="Arial"/>
        </w:rPr>
        <w:t>:</w:t>
      </w:r>
    </w:p>
    <w:p w14:paraId="65A19540" w14:textId="77777777" w:rsidR="00D1022E" w:rsidRDefault="00D1022E" w:rsidP="00D1022E">
      <w:pPr>
        <w:pStyle w:val="ListParagraph"/>
        <w:numPr>
          <w:ilvl w:val="2"/>
          <w:numId w:val="1"/>
        </w:numPr>
        <w:rPr>
          <w:rFonts w:ascii="Arial" w:hAnsi="Arial" w:cs="Arial"/>
        </w:rPr>
      </w:pPr>
      <w:r>
        <w:rPr>
          <w:rFonts w:ascii="Arial" w:hAnsi="Arial" w:cs="Arial"/>
        </w:rPr>
        <w:t>I</w:t>
      </w:r>
      <w:r w:rsidRPr="00D1022E">
        <w:rPr>
          <w:rFonts w:ascii="Arial" w:hAnsi="Arial" w:cs="Arial"/>
        </w:rPr>
        <w:t>ncite unlawful activity</w:t>
      </w:r>
      <w:r>
        <w:rPr>
          <w:rFonts w:ascii="Arial" w:hAnsi="Arial" w:cs="Arial"/>
        </w:rPr>
        <w:t>.</w:t>
      </w:r>
    </w:p>
    <w:p w14:paraId="43C34B62" w14:textId="77777777" w:rsidR="00D1022E" w:rsidRDefault="00D1022E" w:rsidP="00D1022E">
      <w:pPr>
        <w:pStyle w:val="ListParagraph"/>
        <w:numPr>
          <w:ilvl w:val="2"/>
          <w:numId w:val="1"/>
        </w:numPr>
        <w:rPr>
          <w:rFonts w:ascii="Arial" w:hAnsi="Arial" w:cs="Arial"/>
        </w:rPr>
      </w:pPr>
      <w:r>
        <w:rPr>
          <w:rFonts w:ascii="Arial" w:hAnsi="Arial" w:cs="Arial"/>
        </w:rPr>
        <w:t>A</w:t>
      </w:r>
      <w:r w:rsidRPr="00D1022E">
        <w:rPr>
          <w:rFonts w:ascii="Arial" w:hAnsi="Arial" w:cs="Arial"/>
        </w:rPr>
        <w:t>dvocate the forcible overthrow of the government</w:t>
      </w:r>
      <w:r>
        <w:rPr>
          <w:rFonts w:ascii="Arial" w:hAnsi="Arial" w:cs="Arial"/>
        </w:rPr>
        <w:t>.</w:t>
      </w:r>
    </w:p>
    <w:p w14:paraId="192A03BB" w14:textId="63AD7743" w:rsidR="00D1022E" w:rsidRDefault="00D1022E" w:rsidP="00D1022E">
      <w:pPr>
        <w:pStyle w:val="ListParagraph"/>
        <w:numPr>
          <w:ilvl w:val="2"/>
          <w:numId w:val="1"/>
        </w:numPr>
        <w:rPr>
          <w:rFonts w:ascii="Arial" w:hAnsi="Arial" w:cs="Arial"/>
        </w:rPr>
      </w:pPr>
      <w:r>
        <w:rPr>
          <w:rFonts w:ascii="Arial" w:hAnsi="Arial" w:cs="Arial"/>
        </w:rPr>
        <w:t>O</w:t>
      </w:r>
      <w:r w:rsidRPr="00D1022E">
        <w:rPr>
          <w:rFonts w:ascii="Arial" w:hAnsi="Arial" w:cs="Arial"/>
        </w:rPr>
        <w:t>therwise jeopardize the nation’s security.</w:t>
      </w:r>
    </w:p>
    <w:p w14:paraId="4E0A61F2" w14:textId="3DCCCA81" w:rsidR="00D1022E" w:rsidRDefault="00D1022E" w:rsidP="00D1022E">
      <w:pPr>
        <w:pStyle w:val="ListParagraph"/>
        <w:numPr>
          <w:ilvl w:val="1"/>
          <w:numId w:val="1"/>
        </w:numPr>
        <w:rPr>
          <w:rFonts w:ascii="Arial" w:hAnsi="Arial" w:cs="Arial"/>
        </w:rPr>
      </w:pPr>
      <w:r w:rsidRPr="00D1022E">
        <w:rPr>
          <w:rFonts w:ascii="Arial" w:hAnsi="Arial" w:cs="Arial"/>
        </w:rPr>
        <w:t>On the one hand, democratic government assumes that citizens and their leaders will make informed policies by considering competing ideas.</w:t>
      </w:r>
    </w:p>
    <w:p w14:paraId="2712582A" w14:textId="3DFB7473" w:rsidR="00D1022E" w:rsidRDefault="00D1022E" w:rsidP="00D1022E">
      <w:pPr>
        <w:pStyle w:val="ListParagraph"/>
        <w:numPr>
          <w:ilvl w:val="1"/>
          <w:numId w:val="1"/>
        </w:numPr>
        <w:rPr>
          <w:rFonts w:ascii="Arial" w:hAnsi="Arial" w:cs="Arial"/>
        </w:rPr>
      </w:pPr>
      <w:r w:rsidRPr="00D1022E">
        <w:rPr>
          <w:rFonts w:ascii="Arial" w:hAnsi="Arial" w:cs="Arial"/>
        </w:rPr>
        <w:t>On the other hand, a primary task of government is, in the language of the Constitution, to “insure domestic Tranquility.”</w:t>
      </w:r>
    </w:p>
    <w:p w14:paraId="188BD172" w14:textId="1A6B70BB" w:rsidR="005F03B3" w:rsidRDefault="005F03B3" w:rsidP="005F03B3">
      <w:pPr>
        <w:pStyle w:val="ListParagraph"/>
        <w:numPr>
          <w:ilvl w:val="1"/>
          <w:numId w:val="1"/>
        </w:numPr>
        <w:rPr>
          <w:rFonts w:ascii="Arial" w:hAnsi="Arial" w:cs="Arial"/>
        </w:rPr>
      </w:pPr>
      <w:r w:rsidRPr="005F03B3">
        <w:rPr>
          <w:rFonts w:ascii="Arial" w:hAnsi="Arial" w:cs="Arial"/>
        </w:rPr>
        <w:t>Initial Attempts: The Clear and Present Danger Test</w:t>
      </w:r>
    </w:p>
    <w:p w14:paraId="5E79E377" w14:textId="23C4DDB2" w:rsidR="00D1022E" w:rsidRDefault="00D1022E" w:rsidP="00D1022E">
      <w:pPr>
        <w:pStyle w:val="ListParagraph"/>
        <w:numPr>
          <w:ilvl w:val="2"/>
          <w:numId w:val="1"/>
        </w:numPr>
        <w:rPr>
          <w:rFonts w:ascii="Arial" w:hAnsi="Arial" w:cs="Arial"/>
        </w:rPr>
      </w:pPr>
      <w:r w:rsidRPr="00D1022E">
        <w:rPr>
          <w:rFonts w:ascii="Arial" w:hAnsi="Arial" w:cs="Arial"/>
        </w:rPr>
        <w:t>For nearly five decades, the Court struggled to devise a constitutional standard that would evaluate the competing values of liberty and security</w:t>
      </w:r>
      <w:r>
        <w:rPr>
          <w:rFonts w:ascii="Arial" w:hAnsi="Arial" w:cs="Arial"/>
        </w:rPr>
        <w:t>.</w:t>
      </w:r>
    </w:p>
    <w:p w14:paraId="63CA4D0A" w14:textId="42E0C7BA" w:rsidR="002C6E48" w:rsidRDefault="002C6E48" w:rsidP="002C6E48">
      <w:pPr>
        <w:pStyle w:val="ListParagraph"/>
        <w:numPr>
          <w:ilvl w:val="2"/>
          <w:numId w:val="1"/>
        </w:numPr>
        <w:rPr>
          <w:rFonts w:ascii="Arial" w:hAnsi="Arial" w:cs="Arial"/>
          <w:i/>
          <w:iCs/>
        </w:rPr>
      </w:pPr>
      <w:r w:rsidRPr="002C6E48">
        <w:rPr>
          <w:rFonts w:ascii="Arial" w:hAnsi="Arial" w:cs="Arial"/>
          <w:i/>
          <w:iCs/>
        </w:rPr>
        <w:t>Schenck v. United States (1919)</w:t>
      </w:r>
    </w:p>
    <w:p w14:paraId="47DFB31C" w14:textId="094D8A06" w:rsidR="00D1022E" w:rsidRPr="00D1022E" w:rsidRDefault="00D1022E" w:rsidP="00D1022E">
      <w:pPr>
        <w:pStyle w:val="ListParagraph"/>
        <w:numPr>
          <w:ilvl w:val="3"/>
          <w:numId w:val="1"/>
        </w:numPr>
        <w:rPr>
          <w:rFonts w:ascii="Arial" w:hAnsi="Arial" w:cs="Arial"/>
        </w:rPr>
      </w:pPr>
      <w:r w:rsidRPr="00D1022E">
        <w:rPr>
          <w:rFonts w:ascii="Arial" w:hAnsi="Arial" w:cs="Arial"/>
        </w:rPr>
        <w:t xml:space="preserve">Its initial response was </w:t>
      </w:r>
      <w:r w:rsidRPr="00D1022E">
        <w:rPr>
          <w:rFonts w:ascii="Arial" w:hAnsi="Arial" w:cs="Arial"/>
          <w:i/>
          <w:iCs/>
        </w:rPr>
        <w:t>the clear and present danger</w:t>
      </w:r>
      <w:r w:rsidRPr="00D1022E">
        <w:rPr>
          <w:rFonts w:ascii="Arial" w:hAnsi="Arial" w:cs="Arial"/>
        </w:rPr>
        <w:t xml:space="preserve"> test developed.</w:t>
      </w:r>
    </w:p>
    <w:p w14:paraId="148DEAA7" w14:textId="7B1C29C4" w:rsidR="005F03B3" w:rsidRDefault="005F03B3" w:rsidP="00D1022E">
      <w:pPr>
        <w:pStyle w:val="ListParagraph"/>
        <w:numPr>
          <w:ilvl w:val="3"/>
          <w:numId w:val="1"/>
        </w:numPr>
        <w:rPr>
          <w:rFonts w:ascii="Arial" w:hAnsi="Arial" w:cs="Arial"/>
        </w:rPr>
      </w:pPr>
      <w:r>
        <w:rPr>
          <w:rFonts w:ascii="Arial" w:hAnsi="Arial" w:cs="Arial"/>
        </w:rPr>
        <w:t>See Table 5.1.</w:t>
      </w:r>
    </w:p>
    <w:p w14:paraId="3AD78351" w14:textId="77777777" w:rsidR="00D1022E" w:rsidRDefault="00D1022E" w:rsidP="00D1022E">
      <w:pPr>
        <w:pStyle w:val="ListParagraph"/>
        <w:numPr>
          <w:ilvl w:val="3"/>
          <w:numId w:val="1"/>
        </w:numPr>
        <w:rPr>
          <w:rFonts w:ascii="Arial" w:hAnsi="Arial" w:cs="Arial"/>
        </w:rPr>
      </w:pPr>
      <w:r w:rsidRPr="00D1022E">
        <w:rPr>
          <w:rFonts w:ascii="Arial" w:hAnsi="Arial" w:cs="Arial"/>
        </w:rPr>
        <w:t>This test requires consideration of</w:t>
      </w:r>
      <w:r>
        <w:rPr>
          <w:rFonts w:ascii="Arial" w:hAnsi="Arial" w:cs="Arial"/>
        </w:rPr>
        <w:t>:</w:t>
      </w:r>
    </w:p>
    <w:p w14:paraId="0A98E5EB" w14:textId="77777777" w:rsidR="00D1022E" w:rsidRDefault="00D1022E" w:rsidP="00D1022E">
      <w:pPr>
        <w:pStyle w:val="ListParagraph"/>
        <w:numPr>
          <w:ilvl w:val="4"/>
          <w:numId w:val="1"/>
        </w:numPr>
        <w:rPr>
          <w:rFonts w:ascii="Arial" w:hAnsi="Arial" w:cs="Arial"/>
        </w:rPr>
      </w:pPr>
      <w:r>
        <w:rPr>
          <w:rFonts w:ascii="Arial" w:hAnsi="Arial" w:cs="Arial"/>
        </w:rPr>
        <w:t>T</w:t>
      </w:r>
      <w:r w:rsidRPr="00D1022E">
        <w:rPr>
          <w:rFonts w:ascii="Arial" w:hAnsi="Arial" w:cs="Arial"/>
        </w:rPr>
        <w:t>he content of the expression</w:t>
      </w:r>
      <w:r>
        <w:rPr>
          <w:rFonts w:ascii="Arial" w:hAnsi="Arial" w:cs="Arial"/>
        </w:rPr>
        <w:t>.</w:t>
      </w:r>
    </w:p>
    <w:p w14:paraId="194E2582" w14:textId="77777777" w:rsidR="00D1022E" w:rsidRDefault="00D1022E" w:rsidP="00D1022E">
      <w:pPr>
        <w:pStyle w:val="ListParagraph"/>
        <w:numPr>
          <w:ilvl w:val="4"/>
          <w:numId w:val="1"/>
        </w:numPr>
        <w:rPr>
          <w:rFonts w:ascii="Arial" w:hAnsi="Arial" w:cs="Arial"/>
        </w:rPr>
      </w:pPr>
      <w:r>
        <w:rPr>
          <w:rFonts w:ascii="Arial" w:hAnsi="Arial" w:cs="Arial"/>
        </w:rPr>
        <w:t>T</w:t>
      </w:r>
      <w:r w:rsidRPr="00D1022E">
        <w:rPr>
          <w:rFonts w:ascii="Arial" w:hAnsi="Arial" w:cs="Arial"/>
        </w:rPr>
        <w:t>he context in which the words are uttered</w:t>
      </w:r>
      <w:r>
        <w:rPr>
          <w:rFonts w:ascii="Arial" w:hAnsi="Arial" w:cs="Arial"/>
        </w:rPr>
        <w:t>.</w:t>
      </w:r>
    </w:p>
    <w:p w14:paraId="58034B07" w14:textId="77777777" w:rsidR="00D1022E" w:rsidRDefault="00D1022E" w:rsidP="00D1022E">
      <w:pPr>
        <w:pStyle w:val="ListParagraph"/>
        <w:numPr>
          <w:ilvl w:val="4"/>
          <w:numId w:val="1"/>
        </w:numPr>
        <w:rPr>
          <w:rFonts w:ascii="Arial" w:hAnsi="Arial" w:cs="Arial"/>
        </w:rPr>
      </w:pPr>
      <w:r>
        <w:rPr>
          <w:rFonts w:ascii="Arial" w:hAnsi="Arial" w:cs="Arial"/>
        </w:rPr>
        <w:t>T</w:t>
      </w:r>
      <w:r w:rsidRPr="00D1022E">
        <w:rPr>
          <w:rFonts w:ascii="Arial" w:hAnsi="Arial" w:cs="Arial"/>
        </w:rPr>
        <w:t>he consequences of those words</w:t>
      </w:r>
      <w:r>
        <w:rPr>
          <w:rFonts w:ascii="Arial" w:hAnsi="Arial" w:cs="Arial"/>
        </w:rPr>
        <w:t>.</w:t>
      </w:r>
    </w:p>
    <w:p w14:paraId="6634D19B" w14:textId="7E77644D" w:rsidR="00D1022E" w:rsidRDefault="00D1022E" w:rsidP="00D1022E">
      <w:pPr>
        <w:pStyle w:val="ListParagraph"/>
        <w:numPr>
          <w:ilvl w:val="4"/>
          <w:numId w:val="1"/>
        </w:numPr>
        <w:rPr>
          <w:rFonts w:ascii="Arial" w:hAnsi="Arial" w:cs="Arial"/>
        </w:rPr>
      </w:pPr>
      <w:r>
        <w:rPr>
          <w:rFonts w:ascii="Arial" w:hAnsi="Arial" w:cs="Arial"/>
        </w:rPr>
        <w:t>W</w:t>
      </w:r>
      <w:r w:rsidRPr="00D1022E">
        <w:rPr>
          <w:rFonts w:ascii="Arial" w:hAnsi="Arial" w:cs="Arial"/>
        </w:rPr>
        <w:t>hen those consequences may occur.</w:t>
      </w:r>
    </w:p>
    <w:p w14:paraId="4D13F4D7" w14:textId="7F119C10" w:rsidR="00D1022E" w:rsidRDefault="00D1022E" w:rsidP="00D1022E">
      <w:pPr>
        <w:pStyle w:val="ListParagraph"/>
        <w:numPr>
          <w:ilvl w:val="3"/>
          <w:numId w:val="1"/>
        </w:numPr>
        <w:rPr>
          <w:rFonts w:ascii="Arial" w:hAnsi="Arial" w:cs="Arial"/>
        </w:rPr>
      </w:pPr>
      <w:r w:rsidRPr="00D1022E">
        <w:rPr>
          <w:rFonts w:ascii="Arial" w:hAnsi="Arial" w:cs="Arial"/>
        </w:rPr>
        <w:t>Schenck was accused of attempting to obstruct military recruiting and enlistment.</w:t>
      </w:r>
    </w:p>
    <w:p w14:paraId="355B7B65" w14:textId="78171A94" w:rsidR="00D1022E" w:rsidRDefault="00D1022E" w:rsidP="00D1022E">
      <w:pPr>
        <w:pStyle w:val="ListParagraph"/>
        <w:numPr>
          <w:ilvl w:val="3"/>
          <w:numId w:val="1"/>
        </w:numPr>
        <w:rPr>
          <w:rFonts w:ascii="Arial" w:hAnsi="Arial" w:cs="Arial"/>
        </w:rPr>
      </w:pPr>
      <w:r w:rsidRPr="00D1022E">
        <w:rPr>
          <w:rFonts w:ascii="Arial" w:hAnsi="Arial" w:cs="Arial"/>
        </w:rPr>
        <w:t>Under Holmes’s test, there was no constitutional barrier to punishing Schenck’s speech.</w:t>
      </w:r>
    </w:p>
    <w:p w14:paraId="05171B3C" w14:textId="77777777" w:rsidR="00D1022E" w:rsidRDefault="00D1022E" w:rsidP="00D1022E">
      <w:pPr>
        <w:pStyle w:val="ListParagraph"/>
        <w:numPr>
          <w:ilvl w:val="3"/>
          <w:numId w:val="1"/>
        </w:numPr>
        <w:rPr>
          <w:rFonts w:ascii="Arial" w:hAnsi="Arial" w:cs="Arial"/>
        </w:rPr>
      </w:pPr>
      <w:r w:rsidRPr="00D1022E">
        <w:rPr>
          <w:rFonts w:ascii="Arial" w:hAnsi="Arial" w:cs="Arial"/>
        </w:rPr>
        <w:t>Holmes’s opinion was also a politically astute compromise.</w:t>
      </w:r>
    </w:p>
    <w:p w14:paraId="75BF892B" w14:textId="77777777" w:rsidR="00D1022E" w:rsidRDefault="00D1022E" w:rsidP="00D1022E">
      <w:pPr>
        <w:pStyle w:val="ListParagraph"/>
        <w:numPr>
          <w:ilvl w:val="4"/>
          <w:numId w:val="1"/>
        </w:numPr>
        <w:rPr>
          <w:rFonts w:ascii="Arial" w:hAnsi="Arial" w:cs="Arial"/>
        </w:rPr>
      </w:pPr>
      <w:r w:rsidRPr="00D1022E">
        <w:rPr>
          <w:rFonts w:ascii="Arial" w:hAnsi="Arial" w:cs="Arial"/>
        </w:rPr>
        <w:t>On the one hand, the clear and present danger test was a rather liberal interpretation of expression rights.</w:t>
      </w:r>
    </w:p>
    <w:p w14:paraId="346F3482" w14:textId="5A832F6F" w:rsidR="00D1022E" w:rsidRDefault="00D1022E" w:rsidP="00D1022E">
      <w:pPr>
        <w:pStyle w:val="ListParagraph"/>
        <w:numPr>
          <w:ilvl w:val="4"/>
          <w:numId w:val="1"/>
        </w:numPr>
        <w:rPr>
          <w:rFonts w:ascii="Arial" w:hAnsi="Arial" w:cs="Arial"/>
        </w:rPr>
      </w:pPr>
      <w:r w:rsidRPr="00D1022E">
        <w:rPr>
          <w:rFonts w:ascii="Arial" w:hAnsi="Arial" w:cs="Arial"/>
        </w:rPr>
        <w:t>On the other hand, the justices recognized that free speech rights were not absolute, and they found room within the clear and present danger test to uphold the conviction of an unpopular opponent of the war effort.</w:t>
      </w:r>
    </w:p>
    <w:p w14:paraId="15F9F875" w14:textId="64D7836B" w:rsidR="005F03B3" w:rsidRDefault="005F03B3" w:rsidP="005F03B3">
      <w:pPr>
        <w:pStyle w:val="ListParagraph"/>
        <w:numPr>
          <w:ilvl w:val="1"/>
          <w:numId w:val="1"/>
        </w:numPr>
        <w:rPr>
          <w:rFonts w:ascii="Arial" w:hAnsi="Arial" w:cs="Arial"/>
        </w:rPr>
      </w:pPr>
      <w:r w:rsidRPr="005F03B3">
        <w:rPr>
          <w:rFonts w:ascii="Arial" w:hAnsi="Arial" w:cs="Arial"/>
        </w:rPr>
        <w:t>Bad Tendency Test and Incorporation</w:t>
      </w:r>
    </w:p>
    <w:p w14:paraId="40C63FE5" w14:textId="3CBA230D" w:rsidR="002C6E48" w:rsidRDefault="002C6E48" w:rsidP="002C6E48">
      <w:pPr>
        <w:pStyle w:val="ListParagraph"/>
        <w:numPr>
          <w:ilvl w:val="2"/>
          <w:numId w:val="1"/>
        </w:numPr>
        <w:rPr>
          <w:rFonts w:ascii="Arial" w:hAnsi="Arial" w:cs="Arial"/>
          <w:b/>
          <w:bCs/>
          <w:i/>
          <w:iCs/>
        </w:rPr>
      </w:pPr>
      <w:r w:rsidRPr="002C6E48">
        <w:rPr>
          <w:rFonts w:ascii="Arial" w:hAnsi="Arial" w:cs="Arial"/>
          <w:b/>
          <w:bCs/>
          <w:i/>
          <w:iCs/>
        </w:rPr>
        <w:t>Abrams v. United States (1919)</w:t>
      </w:r>
    </w:p>
    <w:p w14:paraId="2F31061E" w14:textId="35BB5732" w:rsidR="00D1022E" w:rsidRDefault="00D1022E" w:rsidP="00D1022E">
      <w:pPr>
        <w:pStyle w:val="ListParagraph"/>
        <w:numPr>
          <w:ilvl w:val="3"/>
          <w:numId w:val="1"/>
        </w:numPr>
        <w:rPr>
          <w:rFonts w:ascii="Arial" w:hAnsi="Arial" w:cs="Arial"/>
        </w:rPr>
      </w:pPr>
      <w:r w:rsidRPr="00D1022E">
        <w:rPr>
          <w:rFonts w:ascii="Arial" w:hAnsi="Arial" w:cs="Arial"/>
          <w:i/>
          <w:iCs/>
        </w:rPr>
        <w:t>Abrams</w:t>
      </w:r>
      <w:r w:rsidRPr="00D1022E">
        <w:rPr>
          <w:rFonts w:ascii="Arial" w:hAnsi="Arial" w:cs="Arial"/>
        </w:rPr>
        <w:t xml:space="preserve"> concerned the plight of five well-educated Russian immigrants, all of whom were adherents of anarchist, revolutionary, or socialist philosophies.</w:t>
      </w:r>
    </w:p>
    <w:p w14:paraId="166A36E6" w14:textId="2D8BD8C8" w:rsidR="00D1022E" w:rsidRDefault="00D1022E" w:rsidP="00D1022E">
      <w:pPr>
        <w:pStyle w:val="ListParagraph"/>
        <w:numPr>
          <w:ilvl w:val="3"/>
          <w:numId w:val="1"/>
        </w:numPr>
        <w:rPr>
          <w:rFonts w:ascii="Arial" w:hAnsi="Arial" w:cs="Arial"/>
        </w:rPr>
      </w:pPr>
      <w:r>
        <w:rPr>
          <w:rFonts w:ascii="Arial" w:hAnsi="Arial" w:cs="Arial"/>
        </w:rPr>
        <w:lastRenderedPageBreak/>
        <w:t>T</w:t>
      </w:r>
      <w:r w:rsidRPr="00D1022E">
        <w:rPr>
          <w:rFonts w:ascii="Arial" w:hAnsi="Arial" w:cs="Arial"/>
        </w:rPr>
        <w:t>hey had published and distributed leaflets</w:t>
      </w:r>
      <w:r>
        <w:rPr>
          <w:rFonts w:ascii="Arial" w:hAnsi="Arial" w:cs="Arial"/>
        </w:rPr>
        <w:t xml:space="preserve"> </w:t>
      </w:r>
      <w:r w:rsidRPr="00D1022E">
        <w:rPr>
          <w:rFonts w:ascii="Arial" w:hAnsi="Arial" w:cs="Arial"/>
        </w:rPr>
        <w:t>criticizing President Wilson’s decision to send troops into Russia and calling for a general strike to protest that policy</w:t>
      </w:r>
      <w:r>
        <w:rPr>
          <w:rFonts w:ascii="Arial" w:hAnsi="Arial" w:cs="Arial"/>
        </w:rPr>
        <w:t>.</w:t>
      </w:r>
    </w:p>
    <w:p w14:paraId="70951761" w14:textId="48E59ABE" w:rsidR="00D1022E" w:rsidRDefault="00D1022E" w:rsidP="00D1022E">
      <w:pPr>
        <w:pStyle w:val="ListParagraph"/>
        <w:numPr>
          <w:ilvl w:val="3"/>
          <w:numId w:val="1"/>
        </w:numPr>
        <w:rPr>
          <w:rFonts w:ascii="Arial" w:hAnsi="Arial" w:cs="Arial"/>
        </w:rPr>
      </w:pPr>
      <w:r w:rsidRPr="00D1022E">
        <w:rPr>
          <w:rFonts w:ascii="Arial" w:hAnsi="Arial" w:cs="Arial"/>
        </w:rPr>
        <w:t>The government charged Abrams and the others with intent to “cripple or hinder the United States in the prosecution of the war.”</w:t>
      </w:r>
    </w:p>
    <w:p w14:paraId="392F3A7E" w14:textId="3E009089" w:rsidR="00D1022E" w:rsidRDefault="00D1022E" w:rsidP="00D1022E">
      <w:pPr>
        <w:pStyle w:val="ListParagraph"/>
        <w:numPr>
          <w:ilvl w:val="3"/>
          <w:numId w:val="1"/>
        </w:numPr>
        <w:rPr>
          <w:rFonts w:ascii="Arial" w:hAnsi="Arial" w:cs="Arial"/>
        </w:rPr>
      </w:pPr>
      <w:r w:rsidRPr="00D1022E">
        <w:rPr>
          <w:rFonts w:ascii="Arial" w:hAnsi="Arial" w:cs="Arial"/>
        </w:rPr>
        <w:t>The trial court found them guilty of violating the 1918 Sedition Act and sentenced them to prison terms of fifteen to twenty years.</w:t>
      </w:r>
    </w:p>
    <w:p w14:paraId="5858F816" w14:textId="77777777" w:rsidR="00D1022E" w:rsidRDefault="00D1022E" w:rsidP="00D1022E">
      <w:pPr>
        <w:pStyle w:val="ListParagraph"/>
        <w:numPr>
          <w:ilvl w:val="3"/>
          <w:numId w:val="1"/>
        </w:numPr>
        <w:rPr>
          <w:rFonts w:ascii="Arial" w:hAnsi="Arial" w:cs="Arial"/>
        </w:rPr>
      </w:pPr>
      <w:r w:rsidRPr="00D1022E">
        <w:rPr>
          <w:rFonts w:ascii="Arial" w:hAnsi="Arial" w:cs="Arial"/>
        </w:rPr>
        <w:t xml:space="preserve">Unlike </w:t>
      </w:r>
      <w:r w:rsidRPr="00D1022E">
        <w:rPr>
          <w:rFonts w:ascii="Arial" w:hAnsi="Arial" w:cs="Arial"/>
          <w:i/>
          <w:iCs/>
        </w:rPr>
        <w:t>Schenck</w:t>
      </w:r>
      <w:r w:rsidRPr="00D1022E">
        <w:rPr>
          <w:rFonts w:ascii="Arial" w:hAnsi="Arial" w:cs="Arial"/>
        </w:rPr>
        <w:t>, however, the Court did not concern itself with whether there was a “dangerous probability” that their speech would cause political mayhem.</w:t>
      </w:r>
    </w:p>
    <w:p w14:paraId="404CB083" w14:textId="68324D0A" w:rsidR="00D1022E" w:rsidRDefault="00D1022E" w:rsidP="00D1022E">
      <w:pPr>
        <w:pStyle w:val="ListParagraph"/>
        <w:numPr>
          <w:ilvl w:val="4"/>
          <w:numId w:val="1"/>
        </w:numPr>
        <w:rPr>
          <w:rFonts w:ascii="Arial" w:hAnsi="Arial" w:cs="Arial"/>
        </w:rPr>
      </w:pPr>
      <w:r w:rsidRPr="00D1022E">
        <w:rPr>
          <w:rFonts w:ascii="Arial" w:hAnsi="Arial" w:cs="Arial"/>
        </w:rPr>
        <w:t xml:space="preserve">Instead, Clarke’s majority opinion used a standard known as the </w:t>
      </w:r>
      <w:r w:rsidRPr="00D1022E">
        <w:rPr>
          <w:rFonts w:ascii="Arial" w:hAnsi="Arial" w:cs="Arial"/>
          <w:i/>
          <w:iCs/>
        </w:rPr>
        <w:t>bad tendency test</w:t>
      </w:r>
      <w:r>
        <w:rPr>
          <w:rFonts w:ascii="Arial" w:hAnsi="Arial" w:cs="Arial"/>
        </w:rPr>
        <w:t>.</w:t>
      </w:r>
    </w:p>
    <w:p w14:paraId="4DB6AF4F" w14:textId="2CE0C5A0" w:rsidR="00D1022E" w:rsidRDefault="00D1022E" w:rsidP="00D1022E">
      <w:pPr>
        <w:pStyle w:val="ListParagraph"/>
        <w:numPr>
          <w:ilvl w:val="4"/>
          <w:numId w:val="1"/>
        </w:numPr>
        <w:rPr>
          <w:rFonts w:ascii="Arial" w:hAnsi="Arial" w:cs="Arial"/>
        </w:rPr>
      </w:pPr>
      <w:r>
        <w:rPr>
          <w:rFonts w:ascii="Arial" w:hAnsi="Arial" w:cs="Arial"/>
        </w:rPr>
        <w:t>T</w:t>
      </w:r>
      <w:r w:rsidRPr="00D1022E">
        <w:rPr>
          <w:rFonts w:ascii="Arial" w:hAnsi="Arial" w:cs="Arial"/>
        </w:rPr>
        <w:t>he Court asked whether the speaker would have known that it could be harmful.</w:t>
      </w:r>
    </w:p>
    <w:p w14:paraId="237B4E45" w14:textId="343B4DF1" w:rsidR="00D1022E" w:rsidRDefault="00D1022E" w:rsidP="00D1022E">
      <w:pPr>
        <w:pStyle w:val="ListParagraph"/>
        <w:numPr>
          <w:ilvl w:val="3"/>
          <w:numId w:val="1"/>
        </w:numPr>
        <w:rPr>
          <w:rFonts w:ascii="Arial" w:hAnsi="Arial" w:cs="Arial"/>
        </w:rPr>
      </w:pPr>
      <w:r w:rsidRPr="00D1022E">
        <w:rPr>
          <w:rFonts w:ascii="Arial" w:hAnsi="Arial" w:cs="Arial"/>
        </w:rPr>
        <w:t>The majority’s failure to gauge the likely effect of Abrams’s speech drew the ire of Justice Holmes.</w:t>
      </w:r>
    </w:p>
    <w:p w14:paraId="0308BE89" w14:textId="12342914" w:rsidR="00D1022E" w:rsidRDefault="00D1022E" w:rsidP="00D1022E">
      <w:pPr>
        <w:pStyle w:val="ListParagraph"/>
        <w:numPr>
          <w:ilvl w:val="4"/>
          <w:numId w:val="1"/>
        </w:numPr>
        <w:rPr>
          <w:rFonts w:ascii="Arial" w:hAnsi="Arial" w:cs="Arial"/>
        </w:rPr>
      </w:pPr>
      <w:r>
        <w:rPr>
          <w:rFonts w:ascii="Arial" w:hAnsi="Arial" w:cs="Arial"/>
        </w:rPr>
        <w:t>I</w:t>
      </w:r>
      <w:r w:rsidRPr="00D1022E">
        <w:rPr>
          <w:rFonts w:ascii="Arial" w:hAnsi="Arial" w:cs="Arial"/>
        </w:rPr>
        <w:t>t was in his dissent that Holmes articulated the “marketplace of ideas” rationale for free speech</w:t>
      </w:r>
      <w:r>
        <w:rPr>
          <w:rFonts w:ascii="Arial" w:hAnsi="Arial" w:cs="Arial"/>
        </w:rPr>
        <w:t>.</w:t>
      </w:r>
    </w:p>
    <w:p w14:paraId="26AF7516" w14:textId="70F77827" w:rsidR="00D1022E" w:rsidRPr="00D1022E" w:rsidRDefault="00D1022E" w:rsidP="00D1022E">
      <w:pPr>
        <w:pStyle w:val="ListParagraph"/>
        <w:numPr>
          <w:ilvl w:val="4"/>
          <w:numId w:val="1"/>
        </w:numPr>
        <w:rPr>
          <w:rFonts w:ascii="Arial" w:hAnsi="Arial" w:cs="Arial"/>
        </w:rPr>
      </w:pPr>
      <w:r>
        <w:rPr>
          <w:rFonts w:ascii="Arial" w:hAnsi="Arial" w:cs="Arial"/>
        </w:rPr>
        <w:t>H</w:t>
      </w:r>
      <w:r w:rsidRPr="00D1022E">
        <w:rPr>
          <w:rFonts w:ascii="Arial" w:hAnsi="Arial" w:cs="Arial"/>
        </w:rPr>
        <w:t>e believed that the Court extended to the government far too much power to censor criticism.</w:t>
      </w:r>
    </w:p>
    <w:p w14:paraId="7B659EAF" w14:textId="29B20255" w:rsidR="002C6E48" w:rsidRDefault="002C6E48" w:rsidP="002C6E48">
      <w:pPr>
        <w:pStyle w:val="ListParagraph"/>
        <w:numPr>
          <w:ilvl w:val="2"/>
          <w:numId w:val="1"/>
        </w:numPr>
        <w:rPr>
          <w:rFonts w:ascii="Arial" w:hAnsi="Arial" w:cs="Arial"/>
          <w:i/>
          <w:iCs/>
        </w:rPr>
      </w:pPr>
      <w:r w:rsidRPr="002C6E48">
        <w:rPr>
          <w:rFonts w:ascii="Arial" w:hAnsi="Arial" w:cs="Arial"/>
          <w:i/>
          <w:iCs/>
        </w:rPr>
        <w:t>Gitlow v. New York (1925)</w:t>
      </w:r>
    </w:p>
    <w:p w14:paraId="3355261D" w14:textId="2078FAE3" w:rsidR="00D1022E" w:rsidRDefault="00D1022E" w:rsidP="00D1022E">
      <w:pPr>
        <w:pStyle w:val="ListParagraph"/>
        <w:numPr>
          <w:ilvl w:val="3"/>
          <w:numId w:val="1"/>
        </w:numPr>
        <w:rPr>
          <w:rFonts w:ascii="Arial" w:hAnsi="Arial" w:cs="Arial"/>
        </w:rPr>
      </w:pPr>
      <w:r w:rsidRPr="00D1022E">
        <w:rPr>
          <w:rFonts w:ascii="Arial" w:hAnsi="Arial" w:cs="Arial"/>
          <w:i/>
          <w:iCs/>
        </w:rPr>
        <w:t>Gitlow</w:t>
      </w:r>
      <w:r w:rsidRPr="00D1022E">
        <w:rPr>
          <w:rFonts w:ascii="Arial" w:hAnsi="Arial" w:cs="Arial"/>
        </w:rPr>
        <w:t xml:space="preserve"> involved a state prosecution.</w:t>
      </w:r>
    </w:p>
    <w:p w14:paraId="2E0AE856" w14:textId="5449B646" w:rsidR="00D1022E" w:rsidRDefault="00D1022E" w:rsidP="00D1022E">
      <w:pPr>
        <w:pStyle w:val="ListParagraph"/>
        <w:numPr>
          <w:ilvl w:val="3"/>
          <w:numId w:val="1"/>
        </w:numPr>
        <w:rPr>
          <w:rFonts w:ascii="Arial" w:hAnsi="Arial" w:cs="Arial"/>
        </w:rPr>
      </w:pPr>
      <w:r>
        <w:rPr>
          <w:rFonts w:ascii="Arial" w:hAnsi="Arial" w:cs="Arial"/>
        </w:rPr>
        <w:t>S</w:t>
      </w:r>
      <w:r w:rsidRPr="00D1022E">
        <w:rPr>
          <w:rFonts w:ascii="Arial" w:hAnsi="Arial" w:cs="Arial"/>
        </w:rPr>
        <w:t>tate criminal syndicalism laws</w:t>
      </w:r>
      <w:r>
        <w:rPr>
          <w:rFonts w:ascii="Arial" w:hAnsi="Arial" w:cs="Arial"/>
        </w:rPr>
        <w:t xml:space="preserve"> </w:t>
      </w:r>
      <w:r w:rsidRPr="00D1022E">
        <w:rPr>
          <w:rFonts w:ascii="Arial" w:hAnsi="Arial" w:cs="Arial"/>
        </w:rPr>
        <w:t>made it a crime to advocate, teach, aid, or abet in any activity designed to bring about the overthrow of the government by force or violence.</w:t>
      </w:r>
    </w:p>
    <w:p w14:paraId="4E7FD835" w14:textId="71F0F237" w:rsidR="00D1022E" w:rsidRDefault="00D1022E" w:rsidP="00D1022E">
      <w:pPr>
        <w:pStyle w:val="ListParagraph"/>
        <w:numPr>
          <w:ilvl w:val="3"/>
          <w:numId w:val="1"/>
        </w:numPr>
        <w:rPr>
          <w:rFonts w:ascii="Arial" w:hAnsi="Arial" w:cs="Arial"/>
        </w:rPr>
      </w:pPr>
      <w:r>
        <w:rPr>
          <w:rFonts w:ascii="Arial" w:hAnsi="Arial" w:cs="Arial"/>
        </w:rPr>
        <w:t>This case’s s</w:t>
      </w:r>
      <w:r w:rsidRPr="00D1022E">
        <w:rPr>
          <w:rFonts w:ascii="Arial" w:hAnsi="Arial" w:cs="Arial"/>
        </w:rPr>
        <w:t>weeping incorporation ensur</w:t>
      </w:r>
      <w:r>
        <w:rPr>
          <w:rFonts w:ascii="Arial" w:hAnsi="Arial" w:cs="Arial"/>
        </w:rPr>
        <w:t xml:space="preserve">ed </w:t>
      </w:r>
      <w:r w:rsidRPr="00D1022E">
        <w:rPr>
          <w:rFonts w:ascii="Arial" w:hAnsi="Arial" w:cs="Arial"/>
        </w:rPr>
        <w:t>that</w:t>
      </w:r>
      <w:r>
        <w:rPr>
          <w:rFonts w:ascii="Arial" w:hAnsi="Arial" w:cs="Arial"/>
        </w:rPr>
        <w:t xml:space="preserve"> </w:t>
      </w:r>
      <w:r w:rsidRPr="00D1022E">
        <w:rPr>
          <w:rFonts w:ascii="Arial" w:hAnsi="Arial" w:cs="Arial"/>
        </w:rPr>
        <w:t>states had to respect the guarantees contained in the First Amendment.</w:t>
      </w:r>
    </w:p>
    <w:p w14:paraId="164196FE" w14:textId="6E896167" w:rsidR="00D1022E" w:rsidRPr="00D1022E" w:rsidRDefault="00D1022E" w:rsidP="00D1022E">
      <w:pPr>
        <w:pStyle w:val="ListParagraph"/>
        <w:numPr>
          <w:ilvl w:val="3"/>
          <w:numId w:val="1"/>
        </w:numPr>
        <w:rPr>
          <w:rFonts w:ascii="Arial" w:hAnsi="Arial" w:cs="Arial"/>
        </w:rPr>
      </w:pPr>
      <w:r w:rsidRPr="00D1022E">
        <w:rPr>
          <w:rFonts w:ascii="Arial" w:hAnsi="Arial" w:cs="Arial"/>
        </w:rPr>
        <w:t>But the Court also limited expression by moving further away from the clear and present danger approach and embracing the bad tendency test.</w:t>
      </w:r>
    </w:p>
    <w:p w14:paraId="6FED00A8" w14:textId="249E6C9E" w:rsidR="002C6E48" w:rsidRDefault="002C6E48" w:rsidP="002C6E48">
      <w:pPr>
        <w:pStyle w:val="ListParagraph"/>
        <w:numPr>
          <w:ilvl w:val="2"/>
          <w:numId w:val="1"/>
        </w:numPr>
        <w:rPr>
          <w:rFonts w:ascii="Arial" w:hAnsi="Arial" w:cs="Arial"/>
          <w:b/>
          <w:bCs/>
          <w:i/>
          <w:iCs/>
        </w:rPr>
      </w:pPr>
      <w:r w:rsidRPr="002C6E48">
        <w:rPr>
          <w:rFonts w:ascii="Arial" w:hAnsi="Arial" w:cs="Arial"/>
          <w:b/>
          <w:bCs/>
          <w:i/>
          <w:iCs/>
        </w:rPr>
        <w:t>Whitney v. California (1927)</w:t>
      </w:r>
    </w:p>
    <w:p w14:paraId="6274F7EB" w14:textId="641190E3" w:rsidR="00D1022E" w:rsidRDefault="00D1022E" w:rsidP="00D1022E">
      <w:pPr>
        <w:pStyle w:val="ListParagraph"/>
        <w:numPr>
          <w:ilvl w:val="3"/>
          <w:numId w:val="1"/>
        </w:numPr>
        <w:rPr>
          <w:rFonts w:ascii="Arial" w:hAnsi="Arial" w:cs="Arial"/>
        </w:rPr>
      </w:pPr>
      <w:r w:rsidRPr="00D1022E">
        <w:rPr>
          <w:rFonts w:ascii="Arial" w:hAnsi="Arial" w:cs="Arial"/>
        </w:rPr>
        <w:t>Charlotte Whitney</w:t>
      </w:r>
      <w:r>
        <w:rPr>
          <w:rFonts w:ascii="Arial" w:hAnsi="Arial" w:cs="Arial"/>
        </w:rPr>
        <w:t xml:space="preserve"> </w:t>
      </w:r>
      <w:r w:rsidRPr="00D1022E">
        <w:rPr>
          <w:rFonts w:ascii="Arial" w:hAnsi="Arial" w:cs="Arial"/>
        </w:rPr>
        <w:t>was active in a number of socialist organizations and a founding member of the California Communist Labor Party.</w:t>
      </w:r>
    </w:p>
    <w:p w14:paraId="3AE51363" w14:textId="008BC231" w:rsidR="00D1022E" w:rsidRDefault="00D1022E" w:rsidP="00D1022E">
      <w:pPr>
        <w:pStyle w:val="ListParagraph"/>
        <w:numPr>
          <w:ilvl w:val="3"/>
          <w:numId w:val="1"/>
        </w:numPr>
        <w:rPr>
          <w:rFonts w:ascii="Arial" w:hAnsi="Arial" w:cs="Arial"/>
        </w:rPr>
      </w:pPr>
      <w:r w:rsidRPr="00D1022E">
        <w:rPr>
          <w:rFonts w:ascii="Arial" w:hAnsi="Arial" w:cs="Arial"/>
        </w:rPr>
        <w:t>In 1919 she was arrested</w:t>
      </w:r>
      <w:r>
        <w:rPr>
          <w:rFonts w:ascii="Arial" w:hAnsi="Arial" w:cs="Arial"/>
        </w:rPr>
        <w:t xml:space="preserve"> </w:t>
      </w:r>
      <w:r w:rsidRPr="00D1022E">
        <w:rPr>
          <w:rFonts w:ascii="Arial" w:hAnsi="Arial" w:cs="Arial"/>
        </w:rPr>
        <w:t>and later sentenced</w:t>
      </w:r>
      <w:r>
        <w:rPr>
          <w:rFonts w:ascii="Arial" w:hAnsi="Arial" w:cs="Arial"/>
        </w:rPr>
        <w:t xml:space="preserve"> for </w:t>
      </w:r>
      <w:r w:rsidRPr="00D1022E">
        <w:rPr>
          <w:rFonts w:ascii="Arial" w:hAnsi="Arial" w:cs="Arial"/>
        </w:rPr>
        <w:t>a violation of the state syndicalism law</w:t>
      </w:r>
      <w:r>
        <w:rPr>
          <w:rFonts w:ascii="Arial" w:hAnsi="Arial" w:cs="Arial"/>
        </w:rPr>
        <w:t>.</w:t>
      </w:r>
    </w:p>
    <w:p w14:paraId="1C4409E1" w14:textId="0CA5898D" w:rsidR="00D1022E" w:rsidRDefault="00D1022E" w:rsidP="00D1022E">
      <w:pPr>
        <w:pStyle w:val="ListParagraph"/>
        <w:numPr>
          <w:ilvl w:val="3"/>
          <w:numId w:val="1"/>
        </w:numPr>
        <w:rPr>
          <w:rFonts w:ascii="Arial" w:hAnsi="Arial" w:cs="Arial"/>
        </w:rPr>
      </w:pPr>
      <w:r>
        <w:rPr>
          <w:rFonts w:ascii="Arial" w:hAnsi="Arial" w:cs="Arial"/>
        </w:rPr>
        <w:t xml:space="preserve">On appeal to the Supreme Court, Whitney attorneys </w:t>
      </w:r>
      <w:r w:rsidRPr="00D1022E">
        <w:rPr>
          <w:rFonts w:ascii="Arial" w:hAnsi="Arial" w:cs="Arial"/>
        </w:rPr>
        <w:t>argued that the California act violated the free speech clause of the First Amendment, but the justices upheld Whitney’s conviction</w:t>
      </w:r>
      <w:r>
        <w:rPr>
          <w:rFonts w:ascii="Arial" w:hAnsi="Arial" w:cs="Arial"/>
        </w:rPr>
        <w:t>.</w:t>
      </w:r>
    </w:p>
    <w:p w14:paraId="5B8111E0" w14:textId="4FF8ACC7" w:rsidR="00D1022E" w:rsidRPr="00D1022E" w:rsidRDefault="00D1022E" w:rsidP="00D1022E">
      <w:pPr>
        <w:pStyle w:val="ListParagraph"/>
        <w:numPr>
          <w:ilvl w:val="3"/>
          <w:numId w:val="1"/>
        </w:numPr>
        <w:rPr>
          <w:rFonts w:ascii="Arial" w:hAnsi="Arial" w:cs="Arial"/>
        </w:rPr>
      </w:pPr>
      <w:r w:rsidRPr="00D1022E">
        <w:rPr>
          <w:rFonts w:ascii="Arial" w:hAnsi="Arial" w:cs="Arial"/>
        </w:rPr>
        <w:t>The Court’s ruling allowed the punishment of mere membership in a subversive organization without requiring proof of any concrete criminal actions to overthrow the government by illegal means.</w:t>
      </w:r>
    </w:p>
    <w:p w14:paraId="364E1C21" w14:textId="265E38F3" w:rsidR="005F03B3" w:rsidRDefault="005F03B3" w:rsidP="005F03B3">
      <w:pPr>
        <w:pStyle w:val="ListParagraph"/>
        <w:numPr>
          <w:ilvl w:val="1"/>
          <w:numId w:val="1"/>
        </w:numPr>
        <w:rPr>
          <w:rFonts w:ascii="Arial" w:hAnsi="Arial" w:cs="Arial"/>
        </w:rPr>
      </w:pPr>
      <w:r w:rsidRPr="005F03B3">
        <w:rPr>
          <w:rFonts w:ascii="Arial" w:hAnsi="Arial" w:cs="Arial"/>
        </w:rPr>
        <w:t>Preferred Freedoms Doctrine</w:t>
      </w:r>
    </w:p>
    <w:p w14:paraId="79DEB1DB" w14:textId="0538C731" w:rsidR="002C6E48" w:rsidRDefault="002C6E48" w:rsidP="002C6E48">
      <w:pPr>
        <w:pStyle w:val="ListParagraph"/>
        <w:numPr>
          <w:ilvl w:val="2"/>
          <w:numId w:val="1"/>
        </w:numPr>
        <w:rPr>
          <w:rFonts w:ascii="Arial" w:hAnsi="Arial" w:cs="Arial"/>
          <w:b/>
          <w:bCs/>
          <w:i/>
          <w:iCs/>
        </w:rPr>
      </w:pPr>
      <w:r w:rsidRPr="002C6E48">
        <w:rPr>
          <w:rFonts w:ascii="Arial" w:hAnsi="Arial" w:cs="Arial"/>
          <w:b/>
          <w:bCs/>
          <w:i/>
          <w:iCs/>
        </w:rPr>
        <w:t>United States v. Carolene Products Co. (1938)</w:t>
      </w:r>
    </w:p>
    <w:p w14:paraId="78FC1CBF" w14:textId="1AD72926" w:rsidR="00D1022E" w:rsidRDefault="00D1022E" w:rsidP="00D1022E">
      <w:pPr>
        <w:pStyle w:val="ListParagraph"/>
        <w:numPr>
          <w:ilvl w:val="3"/>
          <w:numId w:val="1"/>
        </w:numPr>
        <w:rPr>
          <w:rFonts w:ascii="Arial" w:hAnsi="Arial" w:cs="Arial"/>
        </w:rPr>
      </w:pPr>
      <w:r w:rsidRPr="00D1022E">
        <w:rPr>
          <w:rFonts w:ascii="Arial" w:hAnsi="Arial" w:cs="Arial"/>
        </w:rPr>
        <w:lastRenderedPageBreak/>
        <w:t>This case concerned a federal ban on the shipment of a certain kind of milk</w:t>
      </w:r>
      <w:r>
        <w:rPr>
          <w:rFonts w:ascii="Arial" w:hAnsi="Arial" w:cs="Arial"/>
        </w:rPr>
        <w:t>.</w:t>
      </w:r>
    </w:p>
    <w:p w14:paraId="33AA9FE2" w14:textId="77777777" w:rsidR="00D1022E" w:rsidRDefault="00D1022E" w:rsidP="00D1022E">
      <w:pPr>
        <w:pStyle w:val="ListParagraph"/>
        <w:numPr>
          <w:ilvl w:val="3"/>
          <w:numId w:val="1"/>
        </w:numPr>
        <w:rPr>
          <w:rFonts w:ascii="Arial" w:hAnsi="Arial" w:cs="Arial"/>
        </w:rPr>
      </w:pPr>
      <w:r w:rsidRPr="00D1022E">
        <w:rPr>
          <w:rFonts w:ascii="Arial" w:hAnsi="Arial" w:cs="Arial"/>
        </w:rPr>
        <w:t>What appeared to be an obscure footnote, now commonly called “Footnote Four,” carried important implications for civil liberties claims.</w:t>
      </w:r>
    </w:p>
    <w:p w14:paraId="1CBFF042" w14:textId="3AC50702" w:rsidR="00D1022E" w:rsidRDefault="00D1022E" w:rsidP="00D1022E">
      <w:pPr>
        <w:pStyle w:val="ListParagraph"/>
        <w:numPr>
          <w:ilvl w:val="3"/>
          <w:numId w:val="1"/>
        </w:numPr>
        <w:rPr>
          <w:rFonts w:ascii="Arial" w:hAnsi="Arial" w:cs="Arial"/>
        </w:rPr>
      </w:pPr>
      <w:r w:rsidRPr="00D1022E">
        <w:rPr>
          <w:rFonts w:ascii="Arial" w:hAnsi="Arial" w:cs="Arial"/>
        </w:rPr>
        <w:t>Its words suggest that when a government regulation appears on its face to be in conflict with the Bill of Rights, the usual presumption that laws are constitutional should be reduced or waived altogether.</w:t>
      </w:r>
    </w:p>
    <w:p w14:paraId="0270850A" w14:textId="5477A5BF" w:rsidR="00D1022E" w:rsidRPr="00D1022E" w:rsidRDefault="00D1022E" w:rsidP="00D1022E">
      <w:pPr>
        <w:pStyle w:val="ListParagraph"/>
        <w:numPr>
          <w:ilvl w:val="3"/>
          <w:numId w:val="1"/>
        </w:numPr>
        <w:rPr>
          <w:rFonts w:ascii="Arial" w:hAnsi="Arial" w:cs="Arial"/>
        </w:rPr>
      </w:pPr>
      <w:r w:rsidRPr="00D1022E">
        <w:rPr>
          <w:rFonts w:ascii="Arial" w:hAnsi="Arial" w:cs="Arial"/>
        </w:rPr>
        <w:t>Footnote Four’s approach became known as the preferred freedoms doctrine</w:t>
      </w:r>
      <w:r>
        <w:rPr>
          <w:rFonts w:ascii="Arial" w:hAnsi="Arial" w:cs="Arial"/>
        </w:rPr>
        <w:t>.</w:t>
      </w:r>
    </w:p>
    <w:p w14:paraId="5F71020E" w14:textId="73EDD3AD" w:rsidR="005F03B3" w:rsidRDefault="005F03B3" w:rsidP="005F03B3">
      <w:pPr>
        <w:pStyle w:val="ListParagraph"/>
        <w:numPr>
          <w:ilvl w:val="1"/>
          <w:numId w:val="1"/>
        </w:numPr>
        <w:rPr>
          <w:rFonts w:ascii="Arial" w:hAnsi="Arial" w:cs="Arial"/>
        </w:rPr>
      </w:pPr>
      <w:r w:rsidRPr="005F03B3">
        <w:rPr>
          <w:rFonts w:ascii="Arial" w:hAnsi="Arial" w:cs="Arial"/>
        </w:rPr>
        <w:t>Aftermath of World War II: Competing Tests and a Divided Court</w:t>
      </w:r>
    </w:p>
    <w:p w14:paraId="65BDF575" w14:textId="11178AF2" w:rsidR="002C6E48" w:rsidRDefault="002C6E48" w:rsidP="002C6E48">
      <w:pPr>
        <w:pStyle w:val="ListParagraph"/>
        <w:numPr>
          <w:ilvl w:val="2"/>
          <w:numId w:val="1"/>
        </w:numPr>
        <w:rPr>
          <w:rFonts w:ascii="Arial" w:hAnsi="Arial" w:cs="Arial"/>
          <w:b/>
          <w:bCs/>
          <w:i/>
          <w:iCs/>
        </w:rPr>
      </w:pPr>
      <w:r w:rsidRPr="002C6E48">
        <w:rPr>
          <w:rFonts w:ascii="Arial" w:hAnsi="Arial" w:cs="Arial"/>
          <w:b/>
          <w:bCs/>
          <w:i/>
          <w:iCs/>
        </w:rPr>
        <w:t>Thomas v. Collins (1945)</w:t>
      </w:r>
    </w:p>
    <w:p w14:paraId="43C0278A" w14:textId="3405A99B" w:rsidR="00D1022E" w:rsidRDefault="00D1022E" w:rsidP="00D1022E">
      <w:pPr>
        <w:pStyle w:val="ListParagraph"/>
        <w:numPr>
          <w:ilvl w:val="3"/>
          <w:numId w:val="1"/>
        </w:numPr>
        <w:rPr>
          <w:rFonts w:ascii="Arial" w:hAnsi="Arial" w:cs="Arial"/>
        </w:rPr>
      </w:pPr>
      <w:r w:rsidRPr="00D1022E">
        <w:rPr>
          <w:rFonts w:ascii="Arial" w:hAnsi="Arial" w:cs="Arial"/>
        </w:rPr>
        <w:t>President Roosevelt appoint</w:t>
      </w:r>
      <w:r>
        <w:rPr>
          <w:rFonts w:ascii="Arial" w:hAnsi="Arial" w:cs="Arial"/>
        </w:rPr>
        <w:t>ed</w:t>
      </w:r>
      <w:r w:rsidRPr="00D1022E">
        <w:rPr>
          <w:rFonts w:ascii="Arial" w:hAnsi="Arial" w:cs="Arial"/>
        </w:rPr>
        <w:t xml:space="preserve"> new members who had a more supportive view of civil liberties.</w:t>
      </w:r>
    </w:p>
    <w:p w14:paraId="2B6BF984" w14:textId="77777777" w:rsidR="00D1022E" w:rsidRDefault="00D1022E" w:rsidP="00D1022E">
      <w:pPr>
        <w:pStyle w:val="ListParagraph"/>
        <w:numPr>
          <w:ilvl w:val="3"/>
          <w:numId w:val="1"/>
        </w:numPr>
        <w:rPr>
          <w:rFonts w:ascii="Arial" w:hAnsi="Arial" w:cs="Arial"/>
        </w:rPr>
      </w:pPr>
      <w:r w:rsidRPr="00D1022E">
        <w:rPr>
          <w:rFonts w:ascii="Arial" w:hAnsi="Arial" w:cs="Arial"/>
        </w:rPr>
        <w:t>As Justice Rutledge explained, the Court now recognized “the preferred place given in our scheme to the great, the indispensable democratic freedoms secured by the First Amendment</w:t>
      </w:r>
      <w:r>
        <w:rPr>
          <w:rFonts w:ascii="Arial" w:hAnsi="Arial" w:cs="Arial"/>
        </w:rPr>
        <w:t>.</w:t>
      </w:r>
      <w:r w:rsidRPr="00D1022E">
        <w:rPr>
          <w:rFonts w:ascii="Arial" w:hAnsi="Arial" w:cs="Arial"/>
        </w:rPr>
        <w:t>”</w:t>
      </w:r>
    </w:p>
    <w:p w14:paraId="463E4AB9" w14:textId="6281A72F" w:rsidR="00D1022E" w:rsidRPr="00D1022E" w:rsidRDefault="00D1022E" w:rsidP="00D1022E">
      <w:pPr>
        <w:pStyle w:val="ListParagraph"/>
        <w:numPr>
          <w:ilvl w:val="3"/>
          <w:numId w:val="1"/>
        </w:numPr>
        <w:rPr>
          <w:rFonts w:ascii="Arial" w:hAnsi="Arial" w:cs="Arial"/>
        </w:rPr>
      </w:pPr>
      <w:r>
        <w:rPr>
          <w:rFonts w:ascii="Arial" w:hAnsi="Arial" w:cs="Arial"/>
        </w:rPr>
        <w:t>S</w:t>
      </w:r>
      <w:r w:rsidRPr="00D1022E">
        <w:rPr>
          <w:rFonts w:ascii="Arial" w:hAnsi="Arial" w:cs="Arial"/>
        </w:rPr>
        <w:t>peech restrictions would be upheld only in the face of a true “clear and present danger.”</w:t>
      </w:r>
    </w:p>
    <w:p w14:paraId="696E989E" w14:textId="4DC726A9" w:rsidR="00D1022E" w:rsidRDefault="00D1022E" w:rsidP="002C6E48">
      <w:pPr>
        <w:pStyle w:val="ListParagraph"/>
        <w:numPr>
          <w:ilvl w:val="2"/>
          <w:numId w:val="1"/>
        </w:numPr>
        <w:rPr>
          <w:rFonts w:ascii="Arial" w:hAnsi="Arial" w:cs="Arial"/>
        </w:rPr>
      </w:pPr>
      <w:r w:rsidRPr="00D1022E">
        <w:rPr>
          <w:rFonts w:ascii="Arial" w:hAnsi="Arial" w:cs="Arial"/>
        </w:rPr>
        <w:t>By the early 1950s the Court began to turn back toward more speech-restrictive interpretations of the First Amendment.</w:t>
      </w:r>
    </w:p>
    <w:p w14:paraId="1C9D9EB3" w14:textId="58E987EF" w:rsidR="00D1022E" w:rsidRDefault="00D1022E" w:rsidP="002C6E48">
      <w:pPr>
        <w:pStyle w:val="ListParagraph"/>
        <w:numPr>
          <w:ilvl w:val="2"/>
          <w:numId w:val="1"/>
        </w:numPr>
        <w:rPr>
          <w:rFonts w:ascii="Arial" w:hAnsi="Arial" w:cs="Arial"/>
        </w:rPr>
      </w:pPr>
      <w:r w:rsidRPr="00D1022E">
        <w:rPr>
          <w:rFonts w:ascii="Arial" w:hAnsi="Arial" w:cs="Arial"/>
        </w:rPr>
        <w:t>Two new tests emerged, both inherently leading to more speech-restrictive results than the preferred freedoms approach.</w:t>
      </w:r>
    </w:p>
    <w:p w14:paraId="295D66AB" w14:textId="459F31B8" w:rsidR="00D1022E" w:rsidRDefault="00D1022E" w:rsidP="00D1022E">
      <w:pPr>
        <w:pStyle w:val="ListParagraph"/>
        <w:numPr>
          <w:ilvl w:val="3"/>
          <w:numId w:val="1"/>
        </w:numPr>
        <w:rPr>
          <w:rFonts w:ascii="Arial" w:hAnsi="Arial" w:cs="Arial"/>
        </w:rPr>
      </w:pPr>
      <w:r w:rsidRPr="00D1022E">
        <w:rPr>
          <w:rFonts w:ascii="Arial" w:hAnsi="Arial" w:cs="Arial"/>
        </w:rPr>
        <w:t xml:space="preserve">The first of these, called </w:t>
      </w:r>
      <w:r w:rsidRPr="00D1022E">
        <w:rPr>
          <w:rFonts w:ascii="Arial" w:hAnsi="Arial" w:cs="Arial"/>
          <w:i/>
          <w:iCs/>
        </w:rPr>
        <w:t>ad hoc balancing</w:t>
      </w:r>
      <w:r>
        <w:rPr>
          <w:rFonts w:ascii="Arial" w:hAnsi="Arial" w:cs="Arial"/>
        </w:rPr>
        <w:t xml:space="preserve">, </w:t>
      </w:r>
      <w:r w:rsidRPr="00D1022E">
        <w:rPr>
          <w:rFonts w:ascii="Arial" w:hAnsi="Arial" w:cs="Arial"/>
        </w:rPr>
        <w:t>was based on the notion that the values of liberty and order must be wisely balanced</w:t>
      </w:r>
      <w:r>
        <w:rPr>
          <w:rFonts w:ascii="Arial" w:hAnsi="Arial" w:cs="Arial"/>
        </w:rPr>
        <w:t>.</w:t>
      </w:r>
    </w:p>
    <w:p w14:paraId="08A22A2A" w14:textId="70F612D8" w:rsidR="00D1022E" w:rsidRDefault="00D1022E" w:rsidP="00D1022E">
      <w:pPr>
        <w:pStyle w:val="ListParagraph"/>
        <w:numPr>
          <w:ilvl w:val="3"/>
          <w:numId w:val="1"/>
        </w:numPr>
        <w:rPr>
          <w:rFonts w:ascii="Arial" w:hAnsi="Arial" w:cs="Arial"/>
        </w:rPr>
      </w:pPr>
      <w:r w:rsidRPr="00D1022E">
        <w:rPr>
          <w:rFonts w:ascii="Arial" w:hAnsi="Arial" w:cs="Arial"/>
        </w:rPr>
        <w:t>Under this approach, courts consider disputes on a case-by-case basis, asking whether the interests of the individual or the interests of the government should prevail.</w:t>
      </w:r>
    </w:p>
    <w:p w14:paraId="73E30911" w14:textId="7D33C477" w:rsidR="00D1022E" w:rsidRDefault="00D1022E" w:rsidP="00D1022E">
      <w:pPr>
        <w:pStyle w:val="ListParagraph"/>
        <w:numPr>
          <w:ilvl w:val="3"/>
          <w:numId w:val="1"/>
        </w:numPr>
        <w:rPr>
          <w:rFonts w:ascii="Arial" w:hAnsi="Arial" w:cs="Arial"/>
        </w:rPr>
      </w:pPr>
      <w:r w:rsidRPr="00D1022E">
        <w:rPr>
          <w:rFonts w:ascii="Arial" w:hAnsi="Arial" w:cs="Arial"/>
        </w:rPr>
        <w:t xml:space="preserve">The second alternative was the </w:t>
      </w:r>
      <w:r w:rsidRPr="00D1022E">
        <w:rPr>
          <w:rFonts w:ascii="Arial" w:hAnsi="Arial" w:cs="Arial"/>
          <w:i/>
          <w:iCs/>
        </w:rPr>
        <w:t>clear and probable danger test</w:t>
      </w:r>
      <w:r w:rsidRPr="00D1022E">
        <w:rPr>
          <w:rFonts w:ascii="Arial" w:hAnsi="Arial" w:cs="Arial"/>
        </w:rPr>
        <w:t>.</w:t>
      </w:r>
    </w:p>
    <w:p w14:paraId="491426D5" w14:textId="7507FE0D" w:rsidR="00D1022E" w:rsidRPr="00D1022E" w:rsidRDefault="00D1022E" w:rsidP="00D1022E">
      <w:pPr>
        <w:pStyle w:val="ListParagraph"/>
        <w:numPr>
          <w:ilvl w:val="3"/>
          <w:numId w:val="1"/>
        </w:numPr>
        <w:rPr>
          <w:rFonts w:ascii="Arial" w:hAnsi="Arial" w:cs="Arial"/>
        </w:rPr>
      </w:pPr>
      <w:r>
        <w:rPr>
          <w:rFonts w:ascii="Arial" w:hAnsi="Arial" w:cs="Arial"/>
        </w:rPr>
        <w:t>T</w:t>
      </w:r>
      <w:r w:rsidRPr="00D1022E">
        <w:rPr>
          <w:rFonts w:ascii="Arial" w:hAnsi="Arial" w:cs="Arial"/>
        </w:rPr>
        <w:t>his test followed the general structure of the clear and present danger test except for the temporal element.</w:t>
      </w:r>
    </w:p>
    <w:p w14:paraId="4A8E545F" w14:textId="6993E2BF" w:rsidR="002C6E48" w:rsidRDefault="002C6E48" w:rsidP="002C6E48">
      <w:pPr>
        <w:pStyle w:val="ListParagraph"/>
        <w:numPr>
          <w:ilvl w:val="2"/>
          <w:numId w:val="1"/>
        </w:numPr>
        <w:rPr>
          <w:rFonts w:ascii="Arial" w:hAnsi="Arial" w:cs="Arial"/>
          <w:b/>
          <w:bCs/>
          <w:i/>
          <w:iCs/>
        </w:rPr>
      </w:pPr>
      <w:r w:rsidRPr="002C6E48">
        <w:rPr>
          <w:rFonts w:ascii="Arial" w:hAnsi="Arial" w:cs="Arial"/>
          <w:b/>
          <w:bCs/>
          <w:i/>
          <w:iCs/>
        </w:rPr>
        <w:t>Dennis v. United States (1951)</w:t>
      </w:r>
    </w:p>
    <w:p w14:paraId="0F6E2343" w14:textId="68F30D3A" w:rsidR="00D1022E" w:rsidRDefault="00D1022E" w:rsidP="00D1022E">
      <w:pPr>
        <w:pStyle w:val="ListParagraph"/>
        <w:numPr>
          <w:ilvl w:val="3"/>
          <w:numId w:val="1"/>
        </w:numPr>
        <w:rPr>
          <w:rFonts w:ascii="Arial" w:hAnsi="Arial" w:cs="Arial"/>
        </w:rPr>
      </w:pPr>
      <w:r w:rsidRPr="00D1022E">
        <w:rPr>
          <w:rFonts w:ascii="Arial" w:hAnsi="Arial" w:cs="Arial"/>
        </w:rPr>
        <w:t>Chief Justice Vinson described the clear and probable danger test: “In each case courts must ask whether the gravity of the ‘evil,’ discounted by its improbability, justifies such invasion of free speech as is necessary to avoid the danger.”</w:t>
      </w:r>
    </w:p>
    <w:p w14:paraId="1AE72C2A" w14:textId="50215C17" w:rsidR="00D1022E" w:rsidRPr="00D1022E" w:rsidRDefault="00D1022E" w:rsidP="00D1022E">
      <w:pPr>
        <w:pStyle w:val="ListParagraph"/>
        <w:numPr>
          <w:ilvl w:val="3"/>
          <w:numId w:val="1"/>
        </w:numPr>
        <w:rPr>
          <w:rFonts w:ascii="Arial" w:hAnsi="Arial" w:cs="Arial"/>
        </w:rPr>
      </w:pPr>
      <w:r>
        <w:rPr>
          <w:rFonts w:ascii="Arial" w:hAnsi="Arial" w:cs="Arial"/>
        </w:rPr>
        <w:t>T</w:t>
      </w:r>
      <w:r w:rsidRPr="00D1022E">
        <w:rPr>
          <w:rFonts w:ascii="Arial" w:hAnsi="Arial" w:cs="Arial"/>
        </w:rPr>
        <w:t>he Court used the test to affirm the conviction of eleven Communist Party leaders for advocating the overthrow of the government by force and organizing a party for that purpose</w:t>
      </w:r>
      <w:r>
        <w:rPr>
          <w:rFonts w:ascii="Arial" w:hAnsi="Arial" w:cs="Arial"/>
        </w:rPr>
        <w:t>.</w:t>
      </w:r>
    </w:p>
    <w:p w14:paraId="475A28FC" w14:textId="1115965D" w:rsidR="005F03B3" w:rsidRDefault="005F03B3" w:rsidP="005F03B3">
      <w:pPr>
        <w:pStyle w:val="ListParagraph"/>
        <w:numPr>
          <w:ilvl w:val="1"/>
          <w:numId w:val="1"/>
        </w:numPr>
        <w:rPr>
          <w:rFonts w:ascii="Arial" w:hAnsi="Arial" w:cs="Arial"/>
        </w:rPr>
      </w:pPr>
      <w:r w:rsidRPr="005F03B3">
        <w:rPr>
          <w:rFonts w:ascii="Arial" w:hAnsi="Arial" w:cs="Arial"/>
        </w:rPr>
        <w:t>Today’s Standard</w:t>
      </w:r>
    </w:p>
    <w:p w14:paraId="73DEF59D" w14:textId="0139E280" w:rsidR="00D1022E" w:rsidRDefault="00D1022E" w:rsidP="00D1022E">
      <w:pPr>
        <w:pStyle w:val="ListParagraph"/>
        <w:numPr>
          <w:ilvl w:val="2"/>
          <w:numId w:val="1"/>
        </w:numPr>
        <w:rPr>
          <w:rFonts w:ascii="Arial" w:hAnsi="Arial" w:cs="Arial"/>
        </w:rPr>
      </w:pPr>
      <w:r w:rsidRPr="00D1022E">
        <w:rPr>
          <w:rFonts w:ascii="Arial" w:hAnsi="Arial" w:cs="Arial"/>
        </w:rPr>
        <w:lastRenderedPageBreak/>
        <w:t>By the end of the 1960s</w:t>
      </w:r>
      <w:r>
        <w:rPr>
          <w:rFonts w:ascii="Arial" w:hAnsi="Arial" w:cs="Arial"/>
        </w:rPr>
        <w:t xml:space="preserve"> </w:t>
      </w:r>
      <w:r w:rsidRPr="00D1022E">
        <w:rPr>
          <w:rFonts w:ascii="Arial" w:hAnsi="Arial" w:cs="Arial"/>
        </w:rPr>
        <w:t>the Court had devalued many of its Cold War rulings</w:t>
      </w:r>
      <w:r>
        <w:rPr>
          <w:rFonts w:ascii="Arial" w:hAnsi="Arial" w:cs="Arial"/>
        </w:rPr>
        <w:t>.</w:t>
      </w:r>
    </w:p>
    <w:p w14:paraId="5CB652C5" w14:textId="4F926126" w:rsidR="002C6E48" w:rsidRDefault="002C6E48" w:rsidP="002C6E48">
      <w:pPr>
        <w:pStyle w:val="ListParagraph"/>
        <w:numPr>
          <w:ilvl w:val="2"/>
          <w:numId w:val="1"/>
        </w:numPr>
        <w:rPr>
          <w:rFonts w:ascii="Arial" w:hAnsi="Arial" w:cs="Arial"/>
          <w:i/>
          <w:iCs/>
        </w:rPr>
      </w:pPr>
      <w:r w:rsidRPr="002C6E48">
        <w:rPr>
          <w:rFonts w:ascii="Arial" w:hAnsi="Arial" w:cs="Arial"/>
          <w:i/>
          <w:iCs/>
        </w:rPr>
        <w:t>Brandenburg v. Ohio (1969)</w:t>
      </w:r>
    </w:p>
    <w:p w14:paraId="5251D0D7" w14:textId="446DF018" w:rsidR="00D1022E" w:rsidRDefault="00D1022E" w:rsidP="00D1022E">
      <w:pPr>
        <w:pStyle w:val="ListParagraph"/>
        <w:numPr>
          <w:ilvl w:val="3"/>
          <w:numId w:val="1"/>
        </w:numPr>
        <w:rPr>
          <w:rFonts w:ascii="Arial" w:hAnsi="Arial" w:cs="Arial"/>
        </w:rPr>
      </w:pPr>
      <w:r w:rsidRPr="00D1022E">
        <w:rPr>
          <w:rFonts w:ascii="Arial" w:hAnsi="Arial" w:cs="Arial"/>
        </w:rPr>
        <w:t>The justices articulated the Court’s current—and its most protective—standard for judging speech that advocates illegal behavior.</w:t>
      </w:r>
    </w:p>
    <w:p w14:paraId="2D1130D7" w14:textId="53099332" w:rsidR="00D1022E" w:rsidRDefault="00D1022E" w:rsidP="00D1022E">
      <w:pPr>
        <w:pStyle w:val="ListParagraph"/>
        <w:numPr>
          <w:ilvl w:val="3"/>
          <w:numId w:val="1"/>
        </w:numPr>
        <w:rPr>
          <w:rFonts w:ascii="Arial" w:hAnsi="Arial" w:cs="Arial"/>
        </w:rPr>
      </w:pPr>
      <w:r>
        <w:rPr>
          <w:rFonts w:ascii="Arial" w:hAnsi="Arial" w:cs="Arial"/>
        </w:rPr>
        <w:t>T</w:t>
      </w:r>
      <w:r w:rsidRPr="00D1022E">
        <w:rPr>
          <w:rFonts w:ascii="Arial" w:hAnsi="Arial" w:cs="Arial"/>
        </w:rPr>
        <w:t>he test the Court adopted has two important elements, both of which must be satisfied in order to punish speech</w:t>
      </w:r>
      <w:r>
        <w:rPr>
          <w:rFonts w:ascii="Arial" w:hAnsi="Arial" w:cs="Arial"/>
        </w:rPr>
        <w:t>.</w:t>
      </w:r>
    </w:p>
    <w:p w14:paraId="5107F77B" w14:textId="1A40EC81" w:rsidR="00D1022E" w:rsidRDefault="00D1022E" w:rsidP="00D1022E">
      <w:pPr>
        <w:pStyle w:val="ListParagraph"/>
        <w:numPr>
          <w:ilvl w:val="4"/>
          <w:numId w:val="1"/>
        </w:numPr>
        <w:rPr>
          <w:rFonts w:ascii="Arial" w:hAnsi="Arial" w:cs="Arial"/>
        </w:rPr>
      </w:pPr>
      <w:r>
        <w:rPr>
          <w:rFonts w:ascii="Arial" w:hAnsi="Arial" w:cs="Arial"/>
        </w:rPr>
        <w:t>T</w:t>
      </w:r>
      <w:r w:rsidRPr="00D1022E">
        <w:rPr>
          <w:rFonts w:ascii="Arial" w:hAnsi="Arial" w:cs="Arial"/>
        </w:rPr>
        <w:t>he advocacy must be “directed to inciting or producing imminent lawless action</w:t>
      </w:r>
      <w:r>
        <w:rPr>
          <w:rFonts w:ascii="Arial" w:hAnsi="Arial" w:cs="Arial"/>
        </w:rPr>
        <w:t>.”</w:t>
      </w:r>
    </w:p>
    <w:p w14:paraId="69CB412B" w14:textId="4E7CB420" w:rsidR="00D1022E" w:rsidRDefault="00D1022E" w:rsidP="00D1022E">
      <w:pPr>
        <w:pStyle w:val="ListParagraph"/>
        <w:numPr>
          <w:ilvl w:val="4"/>
          <w:numId w:val="1"/>
        </w:numPr>
        <w:rPr>
          <w:rFonts w:ascii="Arial" w:hAnsi="Arial" w:cs="Arial"/>
        </w:rPr>
      </w:pPr>
      <w:r>
        <w:rPr>
          <w:rFonts w:ascii="Arial" w:hAnsi="Arial" w:cs="Arial"/>
        </w:rPr>
        <w:t>The advocacy</w:t>
      </w:r>
      <w:r w:rsidRPr="00D1022E">
        <w:rPr>
          <w:rFonts w:ascii="Arial" w:hAnsi="Arial" w:cs="Arial"/>
        </w:rPr>
        <w:t xml:space="preserve"> is “likely to incite or produce such action.”</w:t>
      </w:r>
    </w:p>
    <w:p w14:paraId="68D4E5C2" w14:textId="363B4839" w:rsidR="00D1022E" w:rsidRPr="00D1022E" w:rsidRDefault="00D1022E" w:rsidP="00D1022E">
      <w:pPr>
        <w:pStyle w:val="ListParagraph"/>
        <w:numPr>
          <w:ilvl w:val="3"/>
          <w:numId w:val="1"/>
        </w:numPr>
        <w:rPr>
          <w:rFonts w:ascii="Arial" w:hAnsi="Arial" w:cs="Arial"/>
        </w:rPr>
      </w:pPr>
      <w:r>
        <w:rPr>
          <w:rFonts w:ascii="Arial" w:hAnsi="Arial" w:cs="Arial"/>
        </w:rPr>
        <w:t>T</w:t>
      </w:r>
      <w:r w:rsidRPr="00D1022E">
        <w:rPr>
          <w:rFonts w:ascii="Arial" w:hAnsi="Arial" w:cs="Arial"/>
        </w:rPr>
        <w:t>he Court declared that not even a probable harm</w:t>
      </w:r>
      <w:r>
        <w:rPr>
          <w:rFonts w:ascii="Arial" w:hAnsi="Arial" w:cs="Arial"/>
        </w:rPr>
        <w:t xml:space="preserve"> </w:t>
      </w:r>
      <w:r w:rsidRPr="00D1022E">
        <w:rPr>
          <w:rFonts w:ascii="Arial" w:hAnsi="Arial" w:cs="Arial"/>
        </w:rPr>
        <w:t>was enough; the harm would actually have to occur (or be at the point of occurring).</w:t>
      </w:r>
    </w:p>
    <w:sectPr w:rsidR="00D1022E" w:rsidRPr="00D1022E" w:rsidSect="006B36F1">
      <w:headerReference w:type="default" r:id="rId10"/>
      <w:head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15087F" w14:textId="77777777" w:rsidR="00C51C2F" w:rsidRDefault="00C51C2F" w:rsidP="00AC6798">
      <w:pPr>
        <w:spacing w:after="0" w:line="240" w:lineRule="auto"/>
      </w:pPr>
      <w:r>
        <w:separator/>
      </w:r>
    </w:p>
  </w:endnote>
  <w:endnote w:type="continuationSeparator" w:id="0">
    <w:p w14:paraId="382DC6C5" w14:textId="77777777" w:rsidR="00C51C2F" w:rsidRDefault="00C51C2F" w:rsidP="00AC67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88A378" w14:textId="77777777" w:rsidR="00C51C2F" w:rsidRDefault="00C51C2F" w:rsidP="00AC6798">
      <w:pPr>
        <w:spacing w:after="0" w:line="240" w:lineRule="auto"/>
      </w:pPr>
      <w:r>
        <w:separator/>
      </w:r>
    </w:p>
  </w:footnote>
  <w:footnote w:type="continuationSeparator" w:id="0">
    <w:p w14:paraId="78B2D74B" w14:textId="77777777" w:rsidR="00C51C2F" w:rsidRDefault="00C51C2F" w:rsidP="00AC67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D91ABD" w14:textId="5AF53726" w:rsidR="00705800" w:rsidRPr="00857730" w:rsidRDefault="0028082F" w:rsidP="00705800">
    <w:pPr>
      <w:pStyle w:val="Header"/>
      <w:jc w:val="right"/>
      <w:rPr>
        <w:rFonts w:ascii="Arial" w:hAnsi="Arial" w:cs="Arial"/>
        <w:i/>
      </w:rPr>
    </w:pPr>
    <w:r w:rsidRPr="00857730">
      <w:rPr>
        <w:rFonts w:ascii="Arial" w:hAnsi="Arial" w:cs="Arial"/>
        <w:sz w:val="20"/>
      </w:rPr>
      <w:t>Instructor Resource</w:t>
    </w:r>
    <w:r w:rsidR="00CE3ED0" w:rsidRPr="00857730">
      <w:rPr>
        <w:rFonts w:ascii="Arial" w:hAnsi="Arial" w:cs="Arial"/>
        <w:sz w:val="20"/>
      </w:rPr>
      <w:br/>
    </w:r>
    <w:r w:rsidR="00857730" w:rsidRPr="00857730">
      <w:rPr>
        <w:rFonts w:ascii="Arial" w:hAnsi="Arial" w:cs="Arial"/>
      </w:rPr>
      <w:t>Epstein</w:t>
    </w:r>
    <w:r w:rsidR="00705800" w:rsidRPr="00857730">
      <w:rPr>
        <w:rFonts w:ascii="Arial" w:hAnsi="Arial" w:cs="Arial"/>
      </w:rPr>
      <w:t xml:space="preserve">, </w:t>
    </w:r>
    <w:r w:rsidR="00857730" w:rsidRPr="00857730">
      <w:rPr>
        <w:rFonts w:ascii="Arial" w:hAnsi="Arial" w:cs="Arial"/>
        <w:i/>
      </w:rPr>
      <w:t>Constitutional Law for a Changing America</w:t>
    </w:r>
    <w:r w:rsidR="00705800" w:rsidRPr="00857730">
      <w:rPr>
        <w:rFonts w:ascii="Arial" w:hAnsi="Arial" w:cs="Arial"/>
        <w:i/>
      </w:rPr>
      <w:t xml:space="preserve">, </w:t>
    </w:r>
    <w:r w:rsidR="00857730" w:rsidRPr="00857730">
      <w:rPr>
        <w:rFonts w:ascii="Arial" w:hAnsi="Arial" w:cs="Arial"/>
        <w:i/>
      </w:rPr>
      <w:t>12e</w:t>
    </w:r>
  </w:p>
  <w:p w14:paraId="5CBC2C81" w14:textId="2EACF95B" w:rsidR="0028082F" w:rsidRPr="00857730" w:rsidRDefault="00705800" w:rsidP="00705800">
    <w:pPr>
      <w:pStyle w:val="Header"/>
      <w:jc w:val="right"/>
      <w:rPr>
        <w:rFonts w:ascii="Arial" w:hAnsi="Arial" w:cs="Arial"/>
        <w:sz w:val="20"/>
      </w:rPr>
    </w:pPr>
    <w:r w:rsidRPr="00857730">
      <w:rPr>
        <w:rFonts w:ascii="Arial" w:hAnsi="Arial" w:cs="Arial"/>
      </w:rPr>
      <w:t>SAGE Publishing, 202</w:t>
    </w:r>
    <w:r w:rsidR="00857730" w:rsidRPr="00857730">
      <w:rPr>
        <w:rFonts w:ascii="Arial" w:hAnsi="Arial" w:cs="Arial"/>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2F85F" w14:textId="77777777" w:rsidR="00AC6798" w:rsidRPr="00AC6798" w:rsidRDefault="00AC6798" w:rsidP="00AC6798">
    <w:pPr>
      <w:spacing w:after="0" w:line="240" w:lineRule="auto"/>
      <w:rPr>
        <w:b/>
      </w:rPr>
    </w:pPr>
    <w:r w:rsidRPr="00AC6798">
      <w:t>Author Names</w:t>
    </w:r>
    <w:r>
      <w:rPr>
        <w:i/>
      </w:rPr>
      <w:t xml:space="preserve">, </w:t>
    </w:r>
    <w:r w:rsidRPr="00AC6798">
      <w:rPr>
        <w:i/>
      </w:rPr>
      <w:t xml:space="preserve">Book Title, </w:t>
    </w:r>
    <w:r w:rsidRPr="00AC6798">
      <w:t>Edition Number:</w:t>
    </w:r>
    <w:r>
      <w:rPr>
        <w:b/>
      </w:rPr>
      <w:t xml:space="preserve"> </w:t>
    </w:r>
    <w:r w:rsidRPr="00AC6798">
      <w:t>Instructor Resource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7F2F7C"/>
    <w:multiLevelType w:val="multilevel"/>
    <w:tmpl w:val="4E8CBAE8"/>
    <w:lvl w:ilvl="0">
      <w:start w:val="1"/>
      <w:numFmt w:val="upperRoman"/>
      <w:lvlText w:val="%1."/>
      <w:lvlJc w:val="left"/>
      <w:pPr>
        <w:ind w:left="1080" w:hanging="720"/>
      </w:pPr>
      <w:rPr>
        <w:rFonts w:hint="default"/>
        <w:b/>
      </w:rPr>
    </w:lvl>
    <w:lvl w:ilvl="1">
      <w:start w:val="1"/>
      <w:numFmt w:val="upperLetter"/>
      <w:lvlText w:val="%2."/>
      <w:lvlJc w:val="left"/>
      <w:pPr>
        <w:ind w:left="1440" w:hanging="360"/>
      </w:pPr>
      <w:rPr>
        <w:rFonts w:hint="default"/>
        <w:b/>
      </w:rPr>
    </w:lvl>
    <w:lvl w:ilvl="2">
      <w:start w:val="1"/>
      <w:numFmt w:val="lowerRoman"/>
      <w:lvlText w:val="%3."/>
      <w:lvlJc w:val="right"/>
      <w:pPr>
        <w:ind w:left="2070" w:hanging="180"/>
      </w:pPr>
      <w:rPr>
        <w:rFonts w:hint="default"/>
        <w:b/>
        <w:i w:val="0"/>
      </w:rPr>
    </w:lvl>
    <w:lvl w:ilvl="3">
      <w:start w:val="1"/>
      <w:numFmt w:val="lowerLetter"/>
      <w:lvlText w:val="%4."/>
      <w:lvlJc w:val="left"/>
      <w:pPr>
        <w:ind w:left="2880" w:hanging="360"/>
      </w:pPr>
      <w:rPr>
        <w:rFonts w:hint="default"/>
        <w:b/>
      </w:rPr>
    </w:lvl>
    <w:lvl w:ilvl="4">
      <w:start w:val="1"/>
      <w:numFmt w:val="lowerRoman"/>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1D144C12"/>
    <w:multiLevelType w:val="hybridMultilevel"/>
    <w:tmpl w:val="121616BA"/>
    <w:lvl w:ilvl="0" w:tplc="40090019">
      <w:start w:val="1"/>
      <w:numFmt w:val="lowerLetter"/>
      <w:lvlText w:val="%1."/>
      <w:lvlJc w:val="left"/>
      <w:pPr>
        <w:ind w:left="2487" w:hanging="360"/>
      </w:pPr>
      <w:rPr>
        <w:b w:val="0"/>
      </w:rPr>
    </w:lvl>
    <w:lvl w:ilvl="1" w:tplc="04090019" w:tentative="1">
      <w:start w:val="1"/>
      <w:numFmt w:val="lowerLetter"/>
      <w:lvlText w:val="%2."/>
      <w:lvlJc w:val="left"/>
      <w:pPr>
        <w:ind w:left="3207" w:hanging="360"/>
      </w:pPr>
    </w:lvl>
    <w:lvl w:ilvl="2" w:tplc="0409001B" w:tentative="1">
      <w:start w:val="1"/>
      <w:numFmt w:val="lowerRoman"/>
      <w:lvlText w:val="%3."/>
      <w:lvlJc w:val="right"/>
      <w:pPr>
        <w:ind w:left="3927" w:hanging="180"/>
      </w:pPr>
    </w:lvl>
    <w:lvl w:ilvl="3" w:tplc="0409000F" w:tentative="1">
      <w:start w:val="1"/>
      <w:numFmt w:val="decimal"/>
      <w:lvlText w:val="%4."/>
      <w:lvlJc w:val="left"/>
      <w:pPr>
        <w:ind w:left="4647" w:hanging="360"/>
      </w:pPr>
    </w:lvl>
    <w:lvl w:ilvl="4" w:tplc="04090019" w:tentative="1">
      <w:start w:val="1"/>
      <w:numFmt w:val="lowerLetter"/>
      <w:lvlText w:val="%5."/>
      <w:lvlJc w:val="left"/>
      <w:pPr>
        <w:ind w:left="5367" w:hanging="360"/>
      </w:pPr>
    </w:lvl>
    <w:lvl w:ilvl="5" w:tplc="0409001B" w:tentative="1">
      <w:start w:val="1"/>
      <w:numFmt w:val="lowerRoman"/>
      <w:lvlText w:val="%6."/>
      <w:lvlJc w:val="right"/>
      <w:pPr>
        <w:ind w:left="6087" w:hanging="180"/>
      </w:pPr>
    </w:lvl>
    <w:lvl w:ilvl="6" w:tplc="0409000F" w:tentative="1">
      <w:start w:val="1"/>
      <w:numFmt w:val="decimal"/>
      <w:lvlText w:val="%7."/>
      <w:lvlJc w:val="left"/>
      <w:pPr>
        <w:ind w:left="6807" w:hanging="360"/>
      </w:pPr>
    </w:lvl>
    <w:lvl w:ilvl="7" w:tplc="04090019" w:tentative="1">
      <w:start w:val="1"/>
      <w:numFmt w:val="lowerLetter"/>
      <w:lvlText w:val="%8."/>
      <w:lvlJc w:val="left"/>
      <w:pPr>
        <w:ind w:left="7527" w:hanging="360"/>
      </w:pPr>
    </w:lvl>
    <w:lvl w:ilvl="8" w:tplc="0409001B" w:tentative="1">
      <w:start w:val="1"/>
      <w:numFmt w:val="lowerRoman"/>
      <w:lvlText w:val="%9."/>
      <w:lvlJc w:val="right"/>
      <w:pPr>
        <w:ind w:left="8247" w:hanging="180"/>
      </w:pPr>
    </w:lvl>
  </w:abstractNum>
  <w:abstractNum w:abstractNumId="2" w15:restartNumberingAfterBreak="0">
    <w:nsid w:val="1E013C6B"/>
    <w:multiLevelType w:val="multilevel"/>
    <w:tmpl w:val="027A6288"/>
    <w:lvl w:ilvl="0">
      <w:start w:val="1"/>
      <w:numFmt w:val="upperRoman"/>
      <w:lvlText w:val="%1."/>
      <w:lvlJc w:val="left"/>
      <w:pPr>
        <w:ind w:left="1080" w:hanging="720"/>
      </w:pPr>
      <w:rPr>
        <w:rFonts w:hint="default"/>
        <w:b/>
      </w:rPr>
    </w:lvl>
    <w:lvl w:ilvl="1">
      <w:start w:val="1"/>
      <w:numFmt w:val="upperLetter"/>
      <w:lvlText w:val="%2."/>
      <w:lvlJc w:val="left"/>
      <w:pPr>
        <w:ind w:left="1440" w:hanging="360"/>
      </w:pPr>
      <w:rPr>
        <w:rFonts w:hint="default"/>
        <w:b/>
      </w:rPr>
    </w:lvl>
    <w:lvl w:ilvl="2">
      <w:start w:val="1"/>
      <w:numFmt w:val="lowerRoman"/>
      <w:lvlText w:val="%3."/>
      <w:lvlJc w:val="right"/>
      <w:pPr>
        <w:ind w:left="2070" w:hanging="180"/>
      </w:pPr>
      <w:rPr>
        <w:rFonts w:hint="default"/>
        <w:b/>
      </w:rPr>
    </w:lvl>
    <w:lvl w:ilvl="3">
      <w:start w:val="1"/>
      <w:numFmt w:val="lowerLetter"/>
      <w:lvlText w:val="%4."/>
      <w:lvlJc w:val="left"/>
      <w:pPr>
        <w:ind w:left="2880" w:hanging="360"/>
      </w:pPr>
      <w:rPr>
        <w:rFonts w:hint="default"/>
        <w:b/>
      </w:rPr>
    </w:lvl>
    <w:lvl w:ilvl="4">
      <w:start w:val="1"/>
      <w:numFmt w:val="lowerRoman"/>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2062098B"/>
    <w:multiLevelType w:val="multilevel"/>
    <w:tmpl w:val="58066654"/>
    <w:styleLink w:val="CurrentList4"/>
    <w:lvl w:ilvl="0">
      <w:start w:val="1"/>
      <w:numFmt w:val="decimal"/>
      <w:lvlText w:val="4.%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244A632A"/>
    <w:multiLevelType w:val="multilevel"/>
    <w:tmpl w:val="39BC37F0"/>
    <w:styleLink w:val="CurrentList3"/>
    <w:lvl w:ilvl="0">
      <w:start w:val="1"/>
      <w:numFmt w:val="decimal"/>
      <w:lvlText w:val="4%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15:restartNumberingAfterBreak="0">
    <w:nsid w:val="2C1A2D0A"/>
    <w:multiLevelType w:val="multilevel"/>
    <w:tmpl w:val="FA147BD4"/>
    <w:styleLink w:val="CurrentList5"/>
    <w:lvl w:ilvl="0">
      <w:start w:val="1"/>
      <w:numFmt w:val="decimal"/>
      <w:lvlText w:val="1.%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 w15:restartNumberingAfterBreak="0">
    <w:nsid w:val="31ED7F79"/>
    <w:multiLevelType w:val="multilevel"/>
    <w:tmpl w:val="28000CB8"/>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33B158D8"/>
    <w:multiLevelType w:val="multilevel"/>
    <w:tmpl w:val="D9204560"/>
    <w:styleLink w:val="CurrentList2"/>
    <w:lvl w:ilvl="0">
      <w:start w:val="1"/>
      <w:numFmt w:val="decimal"/>
      <w:lvlText w:val="4-%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15:restartNumberingAfterBreak="0">
    <w:nsid w:val="39AB1F77"/>
    <w:multiLevelType w:val="hybridMultilevel"/>
    <w:tmpl w:val="A7D2A79A"/>
    <w:lvl w:ilvl="0" w:tplc="4009000F">
      <w:start w:val="1"/>
      <w:numFmt w:val="decimal"/>
      <w:lvlText w:val="%1."/>
      <w:lvlJc w:val="left"/>
      <w:pPr>
        <w:ind w:left="1920" w:hanging="360"/>
      </w:pPr>
      <w:rPr>
        <w:b w:val="0"/>
      </w:rPr>
    </w:lvl>
    <w:lvl w:ilvl="1" w:tplc="04090019">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9" w15:restartNumberingAfterBreak="0">
    <w:nsid w:val="3A760514"/>
    <w:multiLevelType w:val="hybridMultilevel"/>
    <w:tmpl w:val="C48019A8"/>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48441D1"/>
    <w:multiLevelType w:val="hybridMultilevel"/>
    <w:tmpl w:val="7F60152C"/>
    <w:lvl w:ilvl="0" w:tplc="40090019">
      <w:start w:val="1"/>
      <w:numFmt w:val="lowerLetter"/>
      <w:lvlText w:val="%1."/>
      <w:lvlJc w:val="left"/>
      <w:pPr>
        <w:ind w:left="2628" w:hanging="360"/>
      </w:pPr>
      <w:rPr>
        <w:b w:val="0"/>
      </w:rPr>
    </w:lvl>
    <w:lvl w:ilvl="1" w:tplc="04090019" w:tentative="1">
      <w:start w:val="1"/>
      <w:numFmt w:val="lowerLetter"/>
      <w:lvlText w:val="%2."/>
      <w:lvlJc w:val="left"/>
      <w:pPr>
        <w:ind w:left="3348" w:hanging="360"/>
      </w:pPr>
    </w:lvl>
    <w:lvl w:ilvl="2" w:tplc="0409001B" w:tentative="1">
      <w:start w:val="1"/>
      <w:numFmt w:val="lowerRoman"/>
      <w:lvlText w:val="%3."/>
      <w:lvlJc w:val="right"/>
      <w:pPr>
        <w:ind w:left="4068" w:hanging="180"/>
      </w:pPr>
    </w:lvl>
    <w:lvl w:ilvl="3" w:tplc="0409000F" w:tentative="1">
      <w:start w:val="1"/>
      <w:numFmt w:val="decimal"/>
      <w:lvlText w:val="%4."/>
      <w:lvlJc w:val="left"/>
      <w:pPr>
        <w:ind w:left="4788" w:hanging="360"/>
      </w:pPr>
    </w:lvl>
    <w:lvl w:ilvl="4" w:tplc="04090019" w:tentative="1">
      <w:start w:val="1"/>
      <w:numFmt w:val="lowerLetter"/>
      <w:lvlText w:val="%5."/>
      <w:lvlJc w:val="left"/>
      <w:pPr>
        <w:ind w:left="5508" w:hanging="360"/>
      </w:pPr>
    </w:lvl>
    <w:lvl w:ilvl="5" w:tplc="0409001B" w:tentative="1">
      <w:start w:val="1"/>
      <w:numFmt w:val="lowerRoman"/>
      <w:lvlText w:val="%6."/>
      <w:lvlJc w:val="right"/>
      <w:pPr>
        <w:ind w:left="6228" w:hanging="180"/>
      </w:pPr>
    </w:lvl>
    <w:lvl w:ilvl="6" w:tplc="0409000F" w:tentative="1">
      <w:start w:val="1"/>
      <w:numFmt w:val="decimal"/>
      <w:lvlText w:val="%7."/>
      <w:lvlJc w:val="left"/>
      <w:pPr>
        <w:ind w:left="6948" w:hanging="360"/>
      </w:pPr>
    </w:lvl>
    <w:lvl w:ilvl="7" w:tplc="04090019" w:tentative="1">
      <w:start w:val="1"/>
      <w:numFmt w:val="lowerLetter"/>
      <w:lvlText w:val="%8."/>
      <w:lvlJc w:val="left"/>
      <w:pPr>
        <w:ind w:left="7668" w:hanging="360"/>
      </w:pPr>
    </w:lvl>
    <w:lvl w:ilvl="8" w:tplc="0409001B" w:tentative="1">
      <w:start w:val="1"/>
      <w:numFmt w:val="lowerRoman"/>
      <w:lvlText w:val="%9."/>
      <w:lvlJc w:val="right"/>
      <w:pPr>
        <w:ind w:left="8388" w:hanging="180"/>
      </w:pPr>
    </w:lvl>
  </w:abstractNum>
  <w:abstractNum w:abstractNumId="11" w15:restartNumberingAfterBreak="0">
    <w:nsid w:val="4AD45D27"/>
    <w:multiLevelType w:val="hybridMultilevel"/>
    <w:tmpl w:val="ECE2299C"/>
    <w:lvl w:ilvl="0" w:tplc="AEAA20F2">
      <w:start w:val="1"/>
      <w:numFmt w:val="decimal"/>
      <w:lvlText w:val="5.%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DBE49AC"/>
    <w:multiLevelType w:val="multilevel"/>
    <w:tmpl w:val="F1E470A8"/>
    <w:styleLink w:val="CurrentList1"/>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3" w15:restartNumberingAfterBreak="0">
    <w:nsid w:val="57B032DD"/>
    <w:multiLevelType w:val="hybridMultilevel"/>
    <w:tmpl w:val="03701AAA"/>
    <w:lvl w:ilvl="0" w:tplc="4009000F">
      <w:start w:val="1"/>
      <w:numFmt w:val="decimal"/>
      <w:lvlText w:val="%1."/>
      <w:lvlJc w:val="left"/>
      <w:pPr>
        <w:ind w:left="1920" w:hanging="360"/>
      </w:pPr>
      <w:rPr>
        <w:b w:val="0"/>
      </w:r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14" w15:restartNumberingAfterBreak="0">
    <w:nsid w:val="5D930CAB"/>
    <w:multiLevelType w:val="hybridMultilevel"/>
    <w:tmpl w:val="593A89A6"/>
    <w:lvl w:ilvl="0" w:tplc="40090019">
      <w:start w:val="1"/>
      <w:numFmt w:val="lowerLetter"/>
      <w:lvlText w:val="%1."/>
      <w:lvlJc w:val="left"/>
      <w:pPr>
        <w:ind w:left="2487" w:hanging="360"/>
      </w:pPr>
      <w:rPr>
        <w:b w:val="0"/>
      </w:rPr>
    </w:lvl>
    <w:lvl w:ilvl="1" w:tplc="04090019" w:tentative="1">
      <w:start w:val="1"/>
      <w:numFmt w:val="lowerLetter"/>
      <w:lvlText w:val="%2."/>
      <w:lvlJc w:val="left"/>
      <w:pPr>
        <w:ind w:left="3207" w:hanging="360"/>
      </w:pPr>
    </w:lvl>
    <w:lvl w:ilvl="2" w:tplc="0409001B" w:tentative="1">
      <w:start w:val="1"/>
      <w:numFmt w:val="lowerRoman"/>
      <w:lvlText w:val="%3."/>
      <w:lvlJc w:val="right"/>
      <w:pPr>
        <w:ind w:left="3927" w:hanging="180"/>
      </w:pPr>
    </w:lvl>
    <w:lvl w:ilvl="3" w:tplc="0409000F" w:tentative="1">
      <w:start w:val="1"/>
      <w:numFmt w:val="decimal"/>
      <w:lvlText w:val="%4."/>
      <w:lvlJc w:val="left"/>
      <w:pPr>
        <w:ind w:left="4647" w:hanging="360"/>
      </w:pPr>
    </w:lvl>
    <w:lvl w:ilvl="4" w:tplc="04090019" w:tentative="1">
      <w:start w:val="1"/>
      <w:numFmt w:val="lowerLetter"/>
      <w:lvlText w:val="%5."/>
      <w:lvlJc w:val="left"/>
      <w:pPr>
        <w:ind w:left="5367" w:hanging="360"/>
      </w:pPr>
    </w:lvl>
    <w:lvl w:ilvl="5" w:tplc="0409001B" w:tentative="1">
      <w:start w:val="1"/>
      <w:numFmt w:val="lowerRoman"/>
      <w:lvlText w:val="%6."/>
      <w:lvlJc w:val="right"/>
      <w:pPr>
        <w:ind w:left="6087" w:hanging="180"/>
      </w:pPr>
    </w:lvl>
    <w:lvl w:ilvl="6" w:tplc="0409000F" w:tentative="1">
      <w:start w:val="1"/>
      <w:numFmt w:val="decimal"/>
      <w:lvlText w:val="%7."/>
      <w:lvlJc w:val="left"/>
      <w:pPr>
        <w:ind w:left="6807" w:hanging="360"/>
      </w:pPr>
    </w:lvl>
    <w:lvl w:ilvl="7" w:tplc="04090019" w:tentative="1">
      <w:start w:val="1"/>
      <w:numFmt w:val="lowerLetter"/>
      <w:lvlText w:val="%8."/>
      <w:lvlJc w:val="left"/>
      <w:pPr>
        <w:ind w:left="7527" w:hanging="360"/>
      </w:pPr>
    </w:lvl>
    <w:lvl w:ilvl="8" w:tplc="0409001B" w:tentative="1">
      <w:start w:val="1"/>
      <w:numFmt w:val="lowerRoman"/>
      <w:lvlText w:val="%9."/>
      <w:lvlJc w:val="right"/>
      <w:pPr>
        <w:ind w:left="8247" w:hanging="180"/>
      </w:pPr>
    </w:lvl>
  </w:abstractNum>
  <w:abstractNum w:abstractNumId="15" w15:restartNumberingAfterBreak="0">
    <w:nsid w:val="6D657FCB"/>
    <w:multiLevelType w:val="hybridMultilevel"/>
    <w:tmpl w:val="C04A71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CCD13A1"/>
    <w:multiLevelType w:val="hybridMultilevel"/>
    <w:tmpl w:val="B8D8EF26"/>
    <w:lvl w:ilvl="0" w:tplc="22F462D4">
      <w:start w:val="1"/>
      <w:numFmt w:val="upperLetter"/>
      <w:lvlText w:val="%1."/>
      <w:lvlJc w:val="left"/>
      <w:pPr>
        <w:ind w:left="1440" w:hanging="360"/>
      </w:pPr>
      <w:rPr>
        <w:b w:val="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6"/>
  </w:num>
  <w:num w:numId="3">
    <w:abstractNumId w:val="2"/>
  </w:num>
  <w:num w:numId="4">
    <w:abstractNumId w:val="15"/>
  </w:num>
  <w:num w:numId="5">
    <w:abstractNumId w:val="8"/>
  </w:num>
  <w:num w:numId="6">
    <w:abstractNumId w:val="16"/>
  </w:num>
  <w:num w:numId="7">
    <w:abstractNumId w:val="1"/>
  </w:num>
  <w:num w:numId="8">
    <w:abstractNumId w:val="14"/>
  </w:num>
  <w:num w:numId="9">
    <w:abstractNumId w:val="13"/>
  </w:num>
  <w:num w:numId="10">
    <w:abstractNumId w:val="10"/>
  </w:num>
  <w:num w:numId="11">
    <w:abstractNumId w:val="9"/>
  </w:num>
  <w:num w:numId="12">
    <w:abstractNumId w:val="11"/>
  </w:num>
  <w:num w:numId="13">
    <w:abstractNumId w:val="12"/>
  </w:num>
  <w:num w:numId="14">
    <w:abstractNumId w:val="7"/>
  </w:num>
  <w:num w:numId="15">
    <w:abstractNumId w:val="4"/>
  </w:num>
  <w:num w:numId="16">
    <w:abstractNumId w:val="3"/>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6798"/>
    <w:rsid w:val="00087E92"/>
    <w:rsid w:val="000B51AC"/>
    <w:rsid w:val="000C73BA"/>
    <w:rsid w:val="0013263E"/>
    <w:rsid w:val="0013576C"/>
    <w:rsid w:val="00146F66"/>
    <w:rsid w:val="001A2265"/>
    <w:rsid w:val="00252BC4"/>
    <w:rsid w:val="0028082F"/>
    <w:rsid w:val="002842B8"/>
    <w:rsid w:val="002A438F"/>
    <w:rsid w:val="002C6E48"/>
    <w:rsid w:val="003E4F8E"/>
    <w:rsid w:val="00415B0E"/>
    <w:rsid w:val="0049088F"/>
    <w:rsid w:val="0049735A"/>
    <w:rsid w:val="004C441E"/>
    <w:rsid w:val="00590188"/>
    <w:rsid w:val="005C52FF"/>
    <w:rsid w:val="005F03B3"/>
    <w:rsid w:val="00601E26"/>
    <w:rsid w:val="00647166"/>
    <w:rsid w:val="006B2E8E"/>
    <w:rsid w:val="006B36F1"/>
    <w:rsid w:val="00705800"/>
    <w:rsid w:val="00772127"/>
    <w:rsid w:val="00786291"/>
    <w:rsid w:val="00797EB8"/>
    <w:rsid w:val="007D1BD4"/>
    <w:rsid w:val="0080487A"/>
    <w:rsid w:val="00814DAF"/>
    <w:rsid w:val="00857730"/>
    <w:rsid w:val="00861359"/>
    <w:rsid w:val="0091256A"/>
    <w:rsid w:val="00972826"/>
    <w:rsid w:val="00972B91"/>
    <w:rsid w:val="00985161"/>
    <w:rsid w:val="009C7D4A"/>
    <w:rsid w:val="00A0045D"/>
    <w:rsid w:val="00A00903"/>
    <w:rsid w:val="00A12BED"/>
    <w:rsid w:val="00A37B1A"/>
    <w:rsid w:val="00A52B39"/>
    <w:rsid w:val="00AB2511"/>
    <w:rsid w:val="00AC6798"/>
    <w:rsid w:val="00AD14CA"/>
    <w:rsid w:val="00AF3200"/>
    <w:rsid w:val="00B25DB6"/>
    <w:rsid w:val="00BD693B"/>
    <w:rsid w:val="00C22A1D"/>
    <w:rsid w:val="00C263DF"/>
    <w:rsid w:val="00C4089C"/>
    <w:rsid w:val="00C51C2F"/>
    <w:rsid w:val="00CE3ED0"/>
    <w:rsid w:val="00D1022E"/>
    <w:rsid w:val="00D24B9F"/>
    <w:rsid w:val="00DB141D"/>
    <w:rsid w:val="00DB6ECD"/>
    <w:rsid w:val="00DD0D71"/>
    <w:rsid w:val="00DE4AD0"/>
    <w:rsid w:val="00E0583E"/>
    <w:rsid w:val="00E27C4D"/>
    <w:rsid w:val="00E630F2"/>
    <w:rsid w:val="00E91086"/>
    <w:rsid w:val="00E93FEB"/>
    <w:rsid w:val="00ED7CB7"/>
    <w:rsid w:val="00EE7FB4"/>
    <w:rsid w:val="00EF7DE2"/>
    <w:rsid w:val="00F909C8"/>
    <w:rsid w:val="00FB2A8D"/>
    <w:rsid w:val="00FD3089"/>
    <w:rsid w:val="00FE44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D57EC1"/>
  <w15:docId w15:val="{65BDEB8F-28B9-47A1-AC0C-BC43BC34B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C6798"/>
    <w:pPr>
      <w:spacing w:after="200" w:line="276" w:lineRule="auto"/>
    </w:pPr>
    <w:rPr>
      <w:rFonts w:asciiTheme="minorHAnsi" w:eastAsiaTheme="minorEastAsia" w:hAnsiTheme="minorHAnsi" w:cstheme="minorBidi"/>
      <w:sz w:val="22"/>
      <w:szCs w:val="22"/>
    </w:rPr>
  </w:style>
  <w:style w:type="paragraph" w:styleId="Heading1">
    <w:name w:val="heading 1"/>
    <w:basedOn w:val="Normal"/>
    <w:next w:val="Normal"/>
    <w:link w:val="Heading1Char"/>
    <w:uiPriority w:val="9"/>
    <w:qFormat/>
    <w:rsid w:val="00DE4AD0"/>
    <w:pPr>
      <w:keepNext/>
      <w:keepLines/>
      <w:spacing w:before="480" w:after="0"/>
      <w:outlineLvl w:val="0"/>
    </w:pPr>
    <w:rPr>
      <w:rFonts w:ascii="Arial" w:eastAsiaTheme="majorEastAsia" w:hAnsi="Arial" w:cstheme="majorBidi"/>
      <w:b/>
      <w:bCs/>
      <w:sz w:val="28"/>
      <w:szCs w:val="28"/>
    </w:rPr>
  </w:style>
  <w:style w:type="paragraph" w:styleId="Heading2">
    <w:name w:val="heading 2"/>
    <w:basedOn w:val="Normal"/>
    <w:next w:val="Normal"/>
    <w:link w:val="Heading2Char"/>
    <w:uiPriority w:val="9"/>
    <w:unhideWhenUsed/>
    <w:qFormat/>
    <w:rsid w:val="00601E26"/>
    <w:pPr>
      <w:keepNext/>
      <w:keepLines/>
      <w:spacing w:before="200" w:after="0"/>
      <w:outlineLvl w:val="1"/>
    </w:pPr>
    <w:rPr>
      <w:rFonts w:ascii="Arial" w:eastAsiaTheme="majorEastAsia" w:hAnsi="Arial" w:cstheme="majorBidi"/>
      <w:bCs/>
      <w:sz w:val="26"/>
      <w:szCs w:val="26"/>
    </w:rPr>
  </w:style>
  <w:style w:type="paragraph" w:styleId="Heading3">
    <w:name w:val="heading 3"/>
    <w:basedOn w:val="Normal"/>
    <w:next w:val="Normal"/>
    <w:link w:val="Heading3Char"/>
    <w:uiPriority w:val="9"/>
    <w:semiHidden/>
    <w:unhideWhenUsed/>
    <w:qFormat/>
    <w:rsid w:val="00601E26"/>
    <w:pPr>
      <w:keepNext/>
      <w:keepLines/>
      <w:spacing w:before="40" w:after="0"/>
      <w:outlineLvl w:val="2"/>
    </w:pPr>
    <w:rPr>
      <w:rFonts w:ascii="Calibri" w:eastAsiaTheme="majorEastAsia" w:hAnsi="Calibri" w:cstheme="majorBidi"/>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C6798"/>
    <w:pPr>
      <w:ind w:left="720"/>
      <w:contextualSpacing/>
    </w:pPr>
  </w:style>
  <w:style w:type="paragraph" w:styleId="Header">
    <w:name w:val="header"/>
    <w:basedOn w:val="Normal"/>
    <w:link w:val="HeaderChar"/>
    <w:unhideWhenUsed/>
    <w:rsid w:val="00AC6798"/>
    <w:pPr>
      <w:tabs>
        <w:tab w:val="center" w:pos="4680"/>
        <w:tab w:val="right" w:pos="9360"/>
      </w:tabs>
      <w:spacing w:after="0" w:line="240" w:lineRule="auto"/>
    </w:pPr>
  </w:style>
  <w:style w:type="character" w:customStyle="1" w:styleId="HeaderChar">
    <w:name w:val="Header Char"/>
    <w:basedOn w:val="DefaultParagraphFont"/>
    <w:link w:val="Header"/>
    <w:rsid w:val="00AC6798"/>
    <w:rPr>
      <w:rFonts w:asciiTheme="minorHAnsi" w:eastAsiaTheme="minorEastAsia" w:hAnsiTheme="minorHAnsi" w:cstheme="minorBidi"/>
      <w:sz w:val="22"/>
      <w:szCs w:val="22"/>
    </w:rPr>
  </w:style>
  <w:style w:type="paragraph" w:styleId="Footer">
    <w:name w:val="footer"/>
    <w:basedOn w:val="Normal"/>
    <w:link w:val="FooterChar"/>
    <w:uiPriority w:val="99"/>
    <w:unhideWhenUsed/>
    <w:rsid w:val="00AC67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6798"/>
    <w:rPr>
      <w:rFonts w:asciiTheme="minorHAnsi" w:eastAsiaTheme="minorEastAsia" w:hAnsiTheme="minorHAnsi" w:cstheme="minorBidi"/>
      <w:sz w:val="22"/>
      <w:szCs w:val="22"/>
    </w:rPr>
  </w:style>
  <w:style w:type="character" w:customStyle="1" w:styleId="Heading1Char">
    <w:name w:val="Heading 1 Char"/>
    <w:basedOn w:val="DefaultParagraphFont"/>
    <w:link w:val="Heading1"/>
    <w:uiPriority w:val="9"/>
    <w:rsid w:val="00DE4AD0"/>
    <w:rPr>
      <w:rFonts w:ascii="Arial" w:eastAsiaTheme="majorEastAsia" w:hAnsi="Arial" w:cstheme="majorBidi"/>
      <w:b/>
      <w:bCs/>
      <w:sz w:val="28"/>
      <w:szCs w:val="28"/>
    </w:rPr>
  </w:style>
  <w:style w:type="paragraph" w:styleId="Title">
    <w:name w:val="Title"/>
    <w:basedOn w:val="Normal"/>
    <w:next w:val="Normal"/>
    <w:link w:val="TitleChar"/>
    <w:autoRedefine/>
    <w:uiPriority w:val="10"/>
    <w:qFormat/>
    <w:rsid w:val="00857730"/>
    <w:pPr>
      <w:pBdr>
        <w:bottom w:val="single" w:sz="8" w:space="4" w:color="4F81BD" w:themeColor="accent1"/>
      </w:pBdr>
      <w:spacing w:after="300" w:line="240" w:lineRule="auto"/>
      <w:contextualSpacing/>
    </w:pPr>
    <w:rPr>
      <w:rFonts w:ascii="Arial" w:eastAsiaTheme="majorEastAsia" w:hAnsi="Arial" w:cstheme="majorBidi"/>
      <w:color w:val="000000" w:themeColor="text1"/>
      <w:spacing w:val="5"/>
      <w:kern w:val="28"/>
      <w:sz w:val="52"/>
      <w:szCs w:val="52"/>
    </w:rPr>
  </w:style>
  <w:style w:type="character" w:customStyle="1" w:styleId="TitleChar">
    <w:name w:val="Title Char"/>
    <w:basedOn w:val="DefaultParagraphFont"/>
    <w:link w:val="Title"/>
    <w:uiPriority w:val="10"/>
    <w:rsid w:val="00857730"/>
    <w:rPr>
      <w:rFonts w:ascii="Arial" w:eastAsiaTheme="majorEastAsia" w:hAnsi="Arial" w:cstheme="majorBidi"/>
      <w:color w:val="000000" w:themeColor="text1"/>
      <w:spacing w:val="5"/>
      <w:kern w:val="28"/>
      <w:sz w:val="52"/>
      <w:szCs w:val="52"/>
    </w:rPr>
  </w:style>
  <w:style w:type="character" w:customStyle="1" w:styleId="Heading2Char">
    <w:name w:val="Heading 2 Char"/>
    <w:basedOn w:val="DefaultParagraphFont"/>
    <w:link w:val="Heading2"/>
    <w:uiPriority w:val="9"/>
    <w:rsid w:val="00601E26"/>
    <w:rPr>
      <w:rFonts w:ascii="Arial" w:eastAsiaTheme="majorEastAsia" w:hAnsi="Arial" w:cstheme="majorBidi"/>
      <w:bCs/>
      <w:sz w:val="26"/>
      <w:szCs w:val="26"/>
    </w:rPr>
  </w:style>
  <w:style w:type="character" w:customStyle="1" w:styleId="Heading3Char">
    <w:name w:val="Heading 3 Char"/>
    <w:basedOn w:val="DefaultParagraphFont"/>
    <w:link w:val="Heading3"/>
    <w:uiPriority w:val="9"/>
    <w:semiHidden/>
    <w:rsid w:val="00601E26"/>
    <w:rPr>
      <w:rFonts w:ascii="Calibri" w:eastAsiaTheme="majorEastAsia" w:hAnsi="Calibri" w:cstheme="majorBidi"/>
      <w:b/>
      <w:szCs w:val="24"/>
    </w:rPr>
  </w:style>
  <w:style w:type="character" w:customStyle="1" w:styleId="Style1">
    <w:name w:val="Style1"/>
    <w:rsid w:val="00705800"/>
    <w:rPr>
      <w:color w:val="FF0000"/>
    </w:rPr>
  </w:style>
  <w:style w:type="table" w:styleId="TableGrid">
    <w:name w:val="Table Grid"/>
    <w:basedOn w:val="TableNormal"/>
    <w:uiPriority w:val="59"/>
    <w:rsid w:val="00861359"/>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22A1D"/>
    <w:rPr>
      <w:color w:val="0000FF" w:themeColor="hyperlink"/>
      <w:u w:val="single"/>
    </w:rPr>
  </w:style>
  <w:style w:type="character" w:customStyle="1" w:styleId="UnresolvedMention1">
    <w:name w:val="Unresolved Mention1"/>
    <w:basedOn w:val="DefaultParagraphFont"/>
    <w:uiPriority w:val="99"/>
    <w:semiHidden/>
    <w:unhideWhenUsed/>
    <w:rsid w:val="00C22A1D"/>
    <w:rPr>
      <w:color w:val="605E5C"/>
      <w:shd w:val="clear" w:color="auto" w:fill="E1DFDD"/>
    </w:rPr>
  </w:style>
  <w:style w:type="numbering" w:customStyle="1" w:styleId="CurrentList1">
    <w:name w:val="Current List1"/>
    <w:uiPriority w:val="99"/>
    <w:rsid w:val="00857730"/>
    <w:pPr>
      <w:numPr>
        <w:numId w:val="13"/>
      </w:numPr>
    </w:pPr>
  </w:style>
  <w:style w:type="numbering" w:customStyle="1" w:styleId="CurrentList2">
    <w:name w:val="Current List2"/>
    <w:uiPriority w:val="99"/>
    <w:rsid w:val="00857730"/>
    <w:pPr>
      <w:numPr>
        <w:numId w:val="14"/>
      </w:numPr>
    </w:pPr>
  </w:style>
  <w:style w:type="numbering" w:customStyle="1" w:styleId="CurrentList3">
    <w:name w:val="Current List3"/>
    <w:uiPriority w:val="99"/>
    <w:rsid w:val="00857730"/>
    <w:pPr>
      <w:numPr>
        <w:numId w:val="15"/>
      </w:numPr>
    </w:pPr>
  </w:style>
  <w:style w:type="character" w:styleId="CommentReference">
    <w:name w:val="annotation reference"/>
    <w:basedOn w:val="DefaultParagraphFont"/>
    <w:uiPriority w:val="99"/>
    <w:semiHidden/>
    <w:unhideWhenUsed/>
    <w:rsid w:val="00415B0E"/>
    <w:rPr>
      <w:sz w:val="16"/>
      <w:szCs w:val="16"/>
    </w:rPr>
  </w:style>
  <w:style w:type="paragraph" w:styleId="CommentText">
    <w:name w:val="annotation text"/>
    <w:basedOn w:val="Normal"/>
    <w:link w:val="CommentTextChar"/>
    <w:uiPriority w:val="99"/>
    <w:semiHidden/>
    <w:unhideWhenUsed/>
    <w:rsid w:val="00415B0E"/>
    <w:pPr>
      <w:spacing w:line="240" w:lineRule="auto"/>
    </w:pPr>
    <w:rPr>
      <w:sz w:val="20"/>
      <w:szCs w:val="20"/>
    </w:rPr>
  </w:style>
  <w:style w:type="character" w:customStyle="1" w:styleId="CommentTextChar">
    <w:name w:val="Comment Text Char"/>
    <w:basedOn w:val="DefaultParagraphFont"/>
    <w:link w:val="CommentText"/>
    <w:uiPriority w:val="99"/>
    <w:semiHidden/>
    <w:rsid w:val="00415B0E"/>
    <w:rPr>
      <w:rFonts w:asciiTheme="minorHAnsi" w:eastAsiaTheme="minorEastAsia" w:hAnsiTheme="minorHAnsi" w:cstheme="minorBidi"/>
      <w:sz w:val="20"/>
    </w:rPr>
  </w:style>
  <w:style w:type="paragraph" w:styleId="CommentSubject">
    <w:name w:val="annotation subject"/>
    <w:basedOn w:val="CommentText"/>
    <w:next w:val="CommentText"/>
    <w:link w:val="CommentSubjectChar"/>
    <w:uiPriority w:val="99"/>
    <w:semiHidden/>
    <w:unhideWhenUsed/>
    <w:rsid w:val="00415B0E"/>
    <w:rPr>
      <w:b/>
      <w:bCs/>
    </w:rPr>
  </w:style>
  <w:style w:type="character" w:customStyle="1" w:styleId="CommentSubjectChar">
    <w:name w:val="Comment Subject Char"/>
    <w:basedOn w:val="CommentTextChar"/>
    <w:link w:val="CommentSubject"/>
    <w:uiPriority w:val="99"/>
    <w:semiHidden/>
    <w:rsid w:val="00415B0E"/>
    <w:rPr>
      <w:rFonts w:asciiTheme="minorHAnsi" w:eastAsiaTheme="minorEastAsia" w:hAnsiTheme="minorHAnsi" w:cstheme="minorBidi"/>
      <w:b/>
      <w:bCs/>
      <w:sz w:val="20"/>
    </w:rPr>
  </w:style>
  <w:style w:type="numbering" w:customStyle="1" w:styleId="CurrentList4">
    <w:name w:val="Current List4"/>
    <w:uiPriority w:val="99"/>
    <w:rsid w:val="0091256A"/>
    <w:pPr>
      <w:numPr>
        <w:numId w:val="16"/>
      </w:numPr>
    </w:pPr>
  </w:style>
  <w:style w:type="numbering" w:customStyle="1" w:styleId="CurrentList5">
    <w:name w:val="Current List5"/>
    <w:uiPriority w:val="99"/>
    <w:rsid w:val="00DB141D"/>
    <w:pPr>
      <w:numPr>
        <w:numId w:val="17"/>
      </w:numPr>
    </w:pPr>
  </w:style>
  <w:style w:type="paragraph" w:styleId="BalloonText">
    <w:name w:val="Balloon Text"/>
    <w:basedOn w:val="Normal"/>
    <w:link w:val="BalloonTextChar"/>
    <w:uiPriority w:val="99"/>
    <w:semiHidden/>
    <w:unhideWhenUsed/>
    <w:rsid w:val="001A22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2265"/>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AE41945E5BBD4CB80E28A47E208707" ma:contentTypeVersion="18" ma:contentTypeDescription="Create a new document." ma:contentTypeScope="" ma:versionID="ff4f873734712185289ea95ac4696c8e">
  <xsd:schema xmlns:xsd="http://www.w3.org/2001/XMLSchema" xmlns:xs="http://www.w3.org/2001/XMLSchema" xmlns:p="http://schemas.microsoft.com/office/2006/metadata/properties" xmlns:ns3="492391da-a53c-4951-8fae-a630032c0268" xmlns:ns4="bdfdb397-52c9-4b2b-ad93-4e7f8e1b6583" targetNamespace="http://schemas.microsoft.com/office/2006/metadata/properties" ma:root="true" ma:fieldsID="2fe7a041e48a4aa2036dec9bdd9b185f" ns3:_="" ns4:_="">
    <xsd:import namespace="492391da-a53c-4951-8fae-a630032c0268"/>
    <xsd:import namespace="bdfdb397-52c9-4b2b-ad93-4e7f8e1b658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AutoKeyPoints" minOccurs="0"/>
                <xsd:element ref="ns4:MediaServiceKeyPoints" minOccurs="0"/>
                <xsd:element ref="ns4:MediaServiceDateTaken" minOccurs="0"/>
                <xsd:element ref="ns4:MediaServiceOCR" minOccurs="0"/>
                <xsd:element ref="ns4:MediaLengthInSeconds" minOccurs="0"/>
                <xsd:element ref="ns4:MediaServiceLocation" minOccurs="0"/>
                <xsd:element ref="ns4:_activity"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2391da-a53c-4951-8fae-a630032c026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fdb397-52c9-4b2b-ad93-4e7f8e1b658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bdfdb397-52c9-4b2b-ad93-4e7f8e1b6583" xsi:nil="true"/>
  </documentManagement>
</p:properties>
</file>

<file path=customXml/itemProps1.xml><?xml version="1.0" encoding="utf-8"?>
<ds:datastoreItem xmlns:ds="http://schemas.openxmlformats.org/officeDocument/2006/customXml" ds:itemID="{361EA739-F529-488A-BFA7-1A7A5C025A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2391da-a53c-4951-8fae-a630032c0268"/>
    <ds:schemaRef ds:uri="bdfdb397-52c9-4b2b-ad93-4e7f8e1b65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6116A0B-5162-4591-A8ED-6ACFA251E324}">
  <ds:schemaRefs>
    <ds:schemaRef ds:uri="http://schemas.microsoft.com/sharepoint/v3/contenttype/forms"/>
  </ds:schemaRefs>
</ds:datastoreItem>
</file>

<file path=customXml/itemProps3.xml><?xml version="1.0" encoding="utf-8"?>
<ds:datastoreItem xmlns:ds="http://schemas.openxmlformats.org/officeDocument/2006/customXml" ds:itemID="{75ABD288-B6D4-405E-8BEA-0E1B7696363E}">
  <ds:schemaRefs>
    <ds:schemaRef ds:uri="http://purl.org/dc/terms/"/>
    <ds:schemaRef ds:uri="http://schemas.microsoft.com/office/2006/documentManagement/types"/>
    <ds:schemaRef ds:uri="http://purl.org/dc/elements/1.1/"/>
    <ds:schemaRef ds:uri="bdfdb397-52c9-4b2b-ad93-4e7f8e1b6583"/>
    <ds:schemaRef ds:uri="http://schemas.openxmlformats.org/package/2006/metadata/core-properties"/>
    <ds:schemaRef ds:uri="http://schemas.microsoft.com/office/infopath/2007/PartnerControls"/>
    <ds:schemaRef ds:uri="http://purl.org/dc/dcmitype/"/>
    <ds:schemaRef ds:uri="492391da-a53c-4951-8fae-a630032c0268"/>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1790</Words>
  <Characters>10205</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Epstein 12e Chapter 5 Lecture Notes</vt:lpstr>
    </vt:vector>
  </TitlesOfParts>
  <Manager/>
  <Company>Sage Publications</Company>
  <LinksUpToDate>false</LinksUpToDate>
  <CharactersWithSpaces>11972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Epstein 12e Chapter 5 Lecture Notes</dc:title>
  <dc:subject/>
  <dc:creator>Bierach, Katie</dc:creator>
  <cp:keywords/>
  <dc:description/>
  <cp:lastModifiedBy>GWPS</cp:lastModifiedBy>
  <cp:revision>2</cp:revision>
  <dcterms:created xsi:type="dcterms:W3CDTF">2024-10-01T13:55:00Z</dcterms:created>
  <dcterms:modified xsi:type="dcterms:W3CDTF">2024-10-01T13:55:00Z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0x010100FBAE41945E5BBD4CB80E28A47E208707</vt:lpwstr>
  </property>
</Properties>
</file>