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02490" w14:textId="77777777" w:rsidR="00AC6798" w:rsidRPr="00857730" w:rsidRDefault="00AC6798" w:rsidP="00857730">
      <w:pPr>
        <w:pStyle w:val="Title"/>
        <w:rPr>
          <w:rFonts w:cs="Arial"/>
        </w:rPr>
      </w:pPr>
      <w:r w:rsidRPr="00857730">
        <w:rPr>
          <w:rFonts w:cs="Arial"/>
        </w:rPr>
        <w:t>Lecture Notes</w:t>
      </w:r>
    </w:p>
    <w:p w14:paraId="41876262" w14:textId="6D16EE0D" w:rsidR="00CE3ED0" w:rsidRPr="00857730" w:rsidRDefault="00705800" w:rsidP="00AC6798">
      <w:pPr>
        <w:pStyle w:val="Heading1"/>
        <w:rPr>
          <w:rFonts w:cs="Arial"/>
        </w:rPr>
      </w:pPr>
      <w:r w:rsidRPr="00857730">
        <w:rPr>
          <w:rFonts w:cs="Arial"/>
        </w:rPr>
        <w:t xml:space="preserve">Chapter </w:t>
      </w:r>
      <w:r w:rsidR="00244A66">
        <w:rPr>
          <w:rFonts w:cs="Arial"/>
        </w:rPr>
        <w:t>6</w:t>
      </w:r>
      <w:r w:rsidRPr="00857730">
        <w:rPr>
          <w:rFonts w:cs="Arial"/>
        </w:rPr>
        <w:t xml:space="preserve">: </w:t>
      </w:r>
      <w:r w:rsidR="00244A66" w:rsidRPr="00244A66">
        <w:rPr>
          <w:rFonts w:cs="Arial"/>
        </w:rPr>
        <w:t>Modern-Day Approaches to Free Expression</w:t>
      </w:r>
    </w:p>
    <w:p w14:paraId="7132C174" w14:textId="77777777" w:rsidR="00AC6798" w:rsidRPr="00857730" w:rsidRDefault="00AC6798" w:rsidP="00A12BED">
      <w:pPr>
        <w:pStyle w:val="Heading2"/>
        <w:rPr>
          <w:rFonts w:cs="Arial"/>
        </w:rPr>
      </w:pPr>
      <w:r w:rsidRPr="00857730">
        <w:rPr>
          <w:rFonts w:cs="Arial"/>
        </w:rPr>
        <w:t>Annotated Chapter Outline</w:t>
      </w:r>
    </w:p>
    <w:p w14:paraId="43348257" w14:textId="5644F0E7" w:rsidR="00AC6798" w:rsidRDefault="00256313" w:rsidP="00AC6798">
      <w:pPr>
        <w:pStyle w:val="ListParagraph"/>
        <w:numPr>
          <w:ilvl w:val="0"/>
          <w:numId w:val="1"/>
        </w:numPr>
        <w:rPr>
          <w:rFonts w:ascii="Arial" w:hAnsi="Arial" w:cs="Arial"/>
        </w:rPr>
      </w:pPr>
      <w:r w:rsidRPr="00256313">
        <w:rPr>
          <w:rFonts w:ascii="Arial" w:hAnsi="Arial" w:cs="Arial"/>
        </w:rPr>
        <w:t>An Overview of Modern-Day Free Speech Doctrine</w:t>
      </w:r>
    </w:p>
    <w:p w14:paraId="17816E7D" w14:textId="0C44D2A9" w:rsidR="00F64253" w:rsidRDefault="00F64253" w:rsidP="00256313">
      <w:pPr>
        <w:pStyle w:val="ListParagraph"/>
        <w:numPr>
          <w:ilvl w:val="1"/>
          <w:numId w:val="1"/>
        </w:numPr>
        <w:rPr>
          <w:rFonts w:ascii="Arial" w:hAnsi="Arial" w:cs="Arial"/>
        </w:rPr>
      </w:pPr>
      <w:r>
        <w:rPr>
          <w:rFonts w:ascii="Arial" w:hAnsi="Arial" w:cs="Arial"/>
        </w:rPr>
        <w:t>T</w:t>
      </w:r>
      <w:r w:rsidRPr="00F64253">
        <w:rPr>
          <w:rFonts w:ascii="Arial" w:hAnsi="Arial" w:cs="Arial"/>
        </w:rPr>
        <w:t>he contemporary Court considers dispute</w:t>
      </w:r>
      <w:r>
        <w:rPr>
          <w:rFonts w:ascii="Arial" w:hAnsi="Arial" w:cs="Arial"/>
        </w:rPr>
        <w:t>s</w:t>
      </w:r>
      <w:r w:rsidRPr="00F64253">
        <w:rPr>
          <w:rFonts w:ascii="Arial" w:hAnsi="Arial" w:cs="Arial"/>
        </w:rPr>
        <w:t xml:space="preserve"> from many different angles</w:t>
      </w:r>
      <w:r>
        <w:rPr>
          <w:rFonts w:ascii="Arial" w:hAnsi="Arial" w:cs="Arial"/>
        </w:rPr>
        <w:t>.</w:t>
      </w:r>
    </w:p>
    <w:p w14:paraId="37E6F4B6" w14:textId="7062C08A" w:rsidR="00256313" w:rsidRDefault="00256313" w:rsidP="00F64253">
      <w:pPr>
        <w:pStyle w:val="ListParagraph"/>
        <w:numPr>
          <w:ilvl w:val="2"/>
          <w:numId w:val="1"/>
        </w:numPr>
        <w:rPr>
          <w:rFonts w:ascii="Arial" w:hAnsi="Arial" w:cs="Arial"/>
        </w:rPr>
      </w:pPr>
      <w:r>
        <w:rPr>
          <w:rFonts w:ascii="Arial" w:hAnsi="Arial" w:cs="Arial"/>
        </w:rPr>
        <w:t>See Figure 6.1.</w:t>
      </w:r>
    </w:p>
    <w:p w14:paraId="4F7B5887" w14:textId="5EC908A3" w:rsidR="00F64253" w:rsidRDefault="00F64253" w:rsidP="00F64253">
      <w:pPr>
        <w:pStyle w:val="ListParagraph"/>
        <w:numPr>
          <w:ilvl w:val="1"/>
          <w:numId w:val="1"/>
        </w:numPr>
        <w:rPr>
          <w:rFonts w:ascii="Arial" w:hAnsi="Arial" w:cs="Arial"/>
        </w:rPr>
      </w:pPr>
      <w:r>
        <w:rPr>
          <w:rFonts w:ascii="Arial" w:hAnsi="Arial" w:cs="Arial"/>
        </w:rPr>
        <w:t xml:space="preserve">Cases are triggered by </w:t>
      </w:r>
      <w:r w:rsidRPr="00F64253">
        <w:rPr>
          <w:rFonts w:ascii="Arial" w:hAnsi="Arial" w:cs="Arial"/>
        </w:rPr>
        <w:t>allegation</w:t>
      </w:r>
      <w:r>
        <w:rPr>
          <w:rFonts w:ascii="Arial" w:hAnsi="Arial" w:cs="Arial"/>
        </w:rPr>
        <w:t>s</w:t>
      </w:r>
      <w:r w:rsidRPr="00F64253">
        <w:rPr>
          <w:rFonts w:ascii="Arial" w:hAnsi="Arial" w:cs="Arial"/>
        </w:rPr>
        <w:t xml:space="preserve"> that the government has abridged someone’s right to free expression</w:t>
      </w:r>
      <w:r>
        <w:rPr>
          <w:rFonts w:ascii="Arial" w:hAnsi="Arial" w:cs="Arial"/>
        </w:rPr>
        <w:t>.</w:t>
      </w:r>
    </w:p>
    <w:p w14:paraId="6D7382F5" w14:textId="796546B4" w:rsidR="00F64253" w:rsidRDefault="00F64253" w:rsidP="00F64253">
      <w:pPr>
        <w:pStyle w:val="ListParagraph"/>
        <w:numPr>
          <w:ilvl w:val="2"/>
          <w:numId w:val="1"/>
        </w:numPr>
        <w:rPr>
          <w:rFonts w:ascii="Arial" w:hAnsi="Arial" w:cs="Arial"/>
        </w:rPr>
      </w:pPr>
      <w:r>
        <w:rPr>
          <w:rFonts w:ascii="Arial" w:hAnsi="Arial" w:cs="Arial"/>
        </w:rPr>
        <w:t>Determining whether</w:t>
      </w:r>
      <w:r w:rsidR="00DA0BED">
        <w:rPr>
          <w:rFonts w:ascii="Arial" w:hAnsi="Arial" w:cs="Arial"/>
        </w:rPr>
        <w:t xml:space="preserve"> a</w:t>
      </w:r>
      <w:r>
        <w:rPr>
          <w:rFonts w:ascii="Arial" w:hAnsi="Arial" w:cs="Arial"/>
        </w:rPr>
        <w:t xml:space="preserve"> case involved expression</w:t>
      </w:r>
      <w:r w:rsidR="00DA0BED">
        <w:rPr>
          <w:rFonts w:ascii="Arial" w:hAnsi="Arial" w:cs="Arial"/>
        </w:rPr>
        <w:t xml:space="preserve"> was easy enough</w:t>
      </w:r>
      <w:r>
        <w:rPr>
          <w:rFonts w:ascii="Arial" w:hAnsi="Arial" w:cs="Arial"/>
        </w:rPr>
        <w:t>.</w:t>
      </w:r>
    </w:p>
    <w:p w14:paraId="52BCF166" w14:textId="22493498" w:rsidR="00F64253" w:rsidRDefault="00F64253" w:rsidP="00F64253">
      <w:pPr>
        <w:pStyle w:val="ListParagraph"/>
        <w:numPr>
          <w:ilvl w:val="2"/>
          <w:numId w:val="1"/>
        </w:numPr>
        <w:rPr>
          <w:rFonts w:ascii="Arial" w:hAnsi="Arial" w:cs="Arial"/>
        </w:rPr>
      </w:pPr>
      <w:r>
        <w:rPr>
          <w:rFonts w:ascii="Arial" w:hAnsi="Arial" w:cs="Arial"/>
        </w:rPr>
        <w:t xml:space="preserve">In the 1800s and early 1900s, </w:t>
      </w:r>
      <w:r w:rsidRPr="00F64253">
        <w:rPr>
          <w:rFonts w:ascii="Arial" w:hAnsi="Arial" w:cs="Arial"/>
        </w:rPr>
        <w:t>most words were clearly spoken or written</w:t>
      </w:r>
      <w:r>
        <w:rPr>
          <w:rFonts w:ascii="Arial" w:hAnsi="Arial" w:cs="Arial"/>
        </w:rPr>
        <w:t>.</w:t>
      </w:r>
    </w:p>
    <w:p w14:paraId="59C775BD" w14:textId="4F3CDD16" w:rsidR="00F64253" w:rsidRDefault="00F64253" w:rsidP="00F64253">
      <w:pPr>
        <w:pStyle w:val="ListParagraph"/>
        <w:numPr>
          <w:ilvl w:val="2"/>
          <w:numId w:val="1"/>
        </w:numPr>
        <w:rPr>
          <w:rFonts w:ascii="Arial" w:hAnsi="Arial" w:cs="Arial"/>
        </w:rPr>
      </w:pPr>
      <w:r>
        <w:rPr>
          <w:rFonts w:ascii="Arial" w:hAnsi="Arial" w:cs="Arial"/>
        </w:rPr>
        <w:t xml:space="preserve">Now, </w:t>
      </w:r>
      <w:r w:rsidRPr="00F64253">
        <w:rPr>
          <w:rFonts w:ascii="Arial" w:hAnsi="Arial" w:cs="Arial"/>
        </w:rPr>
        <w:t xml:space="preserve">human communication </w:t>
      </w:r>
      <w:r>
        <w:rPr>
          <w:rFonts w:ascii="Arial" w:hAnsi="Arial" w:cs="Arial"/>
        </w:rPr>
        <w:t>takes</w:t>
      </w:r>
      <w:r w:rsidRPr="00F64253">
        <w:rPr>
          <w:rFonts w:ascii="Arial" w:hAnsi="Arial" w:cs="Arial"/>
        </w:rPr>
        <w:t xml:space="preserve"> other forms, including emails, video games, and computer code, as well expression that combine</w:t>
      </w:r>
      <w:r>
        <w:rPr>
          <w:rFonts w:ascii="Arial" w:hAnsi="Arial" w:cs="Arial"/>
        </w:rPr>
        <w:t>s</w:t>
      </w:r>
      <w:r w:rsidRPr="00F64253">
        <w:rPr>
          <w:rFonts w:ascii="Arial" w:hAnsi="Arial" w:cs="Arial"/>
        </w:rPr>
        <w:t xml:space="preserve"> speech and conduct</w:t>
      </w:r>
      <w:r>
        <w:rPr>
          <w:rFonts w:ascii="Arial" w:hAnsi="Arial" w:cs="Arial"/>
        </w:rPr>
        <w:t>.</w:t>
      </w:r>
    </w:p>
    <w:p w14:paraId="5CA34842" w14:textId="7D3FA4BC" w:rsidR="00F64253" w:rsidRDefault="00F64253" w:rsidP="00F64253">
      <w:pPr>
        <w:pStyle w:val="ListParagraph"/>
        <w:numPr>
          <w:ilvl w:val="1"/>
          <w:numId w:val="1"/>
        </w:numPr>
        <w:rPr>
          <w:rFonts w:ascii="Arial" w:hAnsi="Arial" w:cs="Arial"/>
        </w:rPr>
      </w:pPr>
      <w:r w:rsidRPr="00F64253">
        <w:rPr>
          <w:rFonts w:ascii="Arial" w:hAnsi="Arial" w:cs="Arial"/>
        </w:rPr>
        <w:t>Once people claim a depravation of their expression rights, the question becomes: Is the government doing the depriving?</w:t>
      </w:r>
    </w:p>
    <w:p w14:paraId="43A04C25" w14:textId="1293AAAC" w:rsidR="00F64253" w:rsidRDefault="00F64253" w:rsidP="00F64253">
      <w:pPr>
        <w:pStyle w:val="ListParagraph"/>
        <w:numPr>
          <w:ilvl w:val="1"/>
          <w:numId w:val="1"/>
        </w:numPr>
        <w:rPr>
          <w:rFonts w:ascii="Arial" w:hAnsi="Arial" w:cs="Arial"/>
        </w:rPr>
      </w:pPr>
      <w:r>
        <w:rPr>
          <w:rFonts w:ascii="Arial" w:hAnsi="Arial" w:cs="Arial"/>
        </w:rPr>
        <w:t>T</w:t>
      </w:r>
      <w:r w:rsidRPr="00F64253">
        <w:rPr>
          <w:rFonts w:ascii="Arial" w:hAnsi="Arial" w:cs="Arial"/>
        </w:rPr>
        <w:t>he Court has held that some categories of expression are not protected by the First Amendment</w:t>
      </w:r>
      <w:r>
        <w:rPr>
          <w:rFonts w:ascii="Arial" w:hAnsi="Arial" w:cs="Arial"/>
        </w:rPr>
        <w:t>.</w:t>
      </w:r>
    </w:p>
    <w:p w14:paraId="21B619F6" w14:textId="1B87E084" w:rsidR="00F64253" w:rsidRDefault="00F64253" w:rsidP="00F64253">
      <w:pPr>
        <w:pStyle w:val="ListParagraph"/>
        <w:numPr>
          <w:ilvl w:val="2"/>
          <w:numId w:val="1"/>
        </w:numPr>
        <w:rPr>
          <w:rFonts w:ascii="Arial" w:hAnsi="Arial" w:cs="Arial"/>
        </w:rPr>
      </w:pPr>
      <w:r>
        <w:rPr>
          <w:rFonts w:ascii="Arial" w:hAnsi="Arial" w:cs="Arial"/>
        </w:rPr>
        <w:t>True threats.</w:t>
      </w:r>
    </w:p>
    <w:p w14:paraId="50BF2CE4" w14:textId="34E3A042" w:rsidR="00F64253" w:rsidRDefault="00F64253" w:rsidP="00F64253">
      <w:pPr>
        <w:pStyle w:val="ListParagraph"/>
        <w:numPr>
          <w:ilvl w:val="2"/>
          <w:numId w:val="1"/>
        </w:numPr>
        <w:rPr>
          <w:rFonts w:ascii="Arial" w:hAnsi="Arial" w:cs="Arial"/>
        </w:rPr>
      </w:pPr>
      <w:r>
        <w:rPr>
          <w:rFonts w:ascii="Arial" w:hAnsi="Arial" w:cs="Arial"/>
        </w:rPr>
        <w:t>C</w:t>
      </w:r>
      <w:r w:rsidRPr="00F64253">
        <w:rPr>
          <w:rFonts w:ascii="Arial" w:hAnsi="Arial" w:cs="Arial"/>
        </w:rPr>
        <w:t>ertain speech that provokes listeners into lawlessness</w:t>
      </w:r>
      <w:r>
        <w:rPr>
          <w:rFonts w:ascii="Arial" w:hAnsi="Arial" w:cs="Arial"/>
        </w:rPr>
        <w:t>.</w:t>
      </w:r>
    </w:p>
    <w:p w14:paraId="6E338D3D" w14:textId="23A2BAC3" w:rsidR="00F64253" w:rsidRDefault="00F64253" w:rsidP="00F64253">
      <w:pPr>
        <w:pStyle w:val="ListParagraph"/>
        <w:numPr>
          <w:ilvl w:val="2"/>
          <w:numId w:val="1"/>
        </w:numPr>
        <w:rPr>
          <w:rFonts w:ascii="Arial" w:hAnsi="Arial" w:cs="Arial"/>
        </w:rPr>
      </w:pPr>
      <w:r>
        <w:rPr>
          <w:rFonts w:ascii="Arial" w:hAnsi="Arial" w:cs="Arial"/>
        </w:rPr>
        <w:t>E</w:t>
      </w:r>
      <w:r w:rsidRPr="00F64253">
        <w:rPr>
          <w:rFonts w:ascii="Arial" w:hAnsi="Arial" w:cs="Arial"/>
        </w:rPr>
        <w:t>xpression that listeners may be unable to avoid</w:t>
      </w:r>
      <w:r>
        <w:rPr>
          <w:rFonts w:ascii="Arial" w:hAnsi="Arial" w:cs="Arial"/>
        </w:rPr>
        <w:t>.</w:t>
      </w:r>
    </w:p>
    <w:p w14:paraId="75868978" w14:textId="69C58FD2" w:rsidR="00F64253" w:rsidRDefault="00F64253" w:rsidP="00F64253">
      <w:pPr>
        <w:pStyle w:val="ListParagraph"/>
        <w:numPr>
          <w:ilvl w:val="1"/>
          <w:numId w:val="1"/>
        </w:numPr>
        <w:rPr>
          <w:rFonts w:ascii="Arial" w:hAnsi="Arial" w:cs="Arial"/>
        </w:rPr>
      </w:pPr>
      <w:r w:rsidRPr="00F64253">
        <w:rPr>
          <w:rFonts w:ascii="Arial" w:hAnsi="Arial" w:cs="Arial"/>
        </w:rPr>
        <w:t>If the expression does not fall into an unprotected category, the justices will take a closer look at both the speech and the regulation.</w:t>
      </w:r>
    </w:p>
    <w:p w14:paraId="7D3D2B18" w14:textId="18CE7A6F" w:rsidR="00F64253" w:rsidRDefault="00F64253" w:rsidP="00F64253">
      <w:pPr>
        <w:pStyle w:val="ListParagraph"/>
        <w:numPr>
          <w:ilvl w:val="2"/>
          <w:numId w:val="1"/>
        </w:numPr>
        <w:rPr>
          <w:rFonts w:ascii="Arial" w:hAnsi="Arial" w:cs="Arial"/>
        </w:rPr>
      </w:pPr>
      <w:r>
        <w:rPr>
          <w:rFonts w:ascii="Arial" w:hAnsi="Arial" w:cs="Arial"/>
        </w:rPr>
        <w:t>C</w:t>
      </w:r>
      <w:r w:rsidRPr="00F64253">
        <w:rPr>
          <w:rFonts w:ascii="Arial" w:hAnsi="Arial" w:cs="Arial"/>
        </w:rPr>
        <w:t>ertain speakers and types of speech merit more protection under the First Amendment than others</w:t>
      </w:r>
      <w:r>
        <w:rPr>
          <w:rFonts w:ascii="Arial" w:hAnsi="Arial" w:cs="Arial"/>
        </w:rPr>
        <w:t>.</w:t>
      </w:r>
    </w:p>
    <w:p w14:paraId="77EDD82D" w14:textId="77777777" w:rsidR="00F64253" w:rsidRDefault="00F64253" w:rsidP="00F64253">
      <w:pPr>
        <w:pStyle w:val="ListParagraph"/>
        <w:numPr>
          <w:ilvl w:val="2"/>
          <w:numId w:val="1"/>
        </w:numPr>
        <w:rPr>
          <w:rFonts w:ascii="Arial" w:hAnsi="Arial" w:cs="Arial"/>
        </w:rPr>
      </w:pPr>
      <w:r>
        <w:rPr>
          <w:rFonts w:ascii="Arial" w:hAnsi="Arial" w:cs="Arial"/>
        </w:rPr>
        <w:t xml:space="preserve">The Court considers </w:t>
      </w:r>
      <w:r w:rsidRPr="00F64253">
        <w:rPr>
          <w:rFonts w:ascii="Arial" w:hAnsi="Arial" w:cs="Arial"/>
        </w:rPr>
        <w:t>whether the regulation</w:t>
      </w:r>
      <w:r>
        <w:rPr>
          <w:rFonts w:ascii="Arial" w:hAnsi="Arial" w:cs="Arial"/>
        </w:rPr>
        <w:t>:</w:t>
      </w:r>
    </w:p>
    <w:p w14:paraId="3FDAB28F" w14:textId="293730A7" w:rsidR="00F64253" w:rsidRDefault="00F64253" w:rsidP="00F64253">
      <w:pPr>
        <w:pStyle w:val="ListParagraph"/>
        <w:numPr>
          <w:ilvl w:val="3"/>
          <w:numId w:val="1"/>
        </w:numPr>
        <w:rPr>
          <w:rFonts w:ascii="Arial" w:hAnsi="Arial" w:cs="Arial"/>
        </w:rPr>
      </w:pPr>
      <w:r>
        <w:rPr>
          <w:rFonts w:ascii="Arial" w:hAnsi="Arial" w:cs="Arial"/>
        </w:rPr>
        <w:t>C</w:t>
      </w:r>
      <w:r w:rsidRPr="00F64253">
        <w:rPr>
          <w:rFonts w:ascii="Arial" w:hAnsi="Arial" w:cs="Arial"/>
        </w:rPr>
        <w:t>onstitutes a prior restraint</w:t>
      </w:r>
      <w:r>
        <w:rPr>
          <w:rFonts w:ascii="Arial" w:hAnsi="Arial" w:cs="Arial"/>
        </w:rPr>
        <w:t>.</w:t>
      </w:r>
    </w:p>
    <w:p w14:paraId="0C52A4C2" w14:textId="387B87B2" w:rsidR="00F64253" w:rsidRDefault="00F64253" w:rsidP="00F64253">
      <w:pPr>
        <w:pStyle w:val="ListParagraph"/>
        <w:numPr>
          <w:ilvl w:val="3"/>
          <w:numId w:val="1"/>
        </w:numPr>
        <w:rPr>
          <w:rFonts w:ascii="Arial" w:hAnsi="Arial" w:cs="Arial"/>
        </w:rPr>
      </w:pPr>
      <w:r>
        <w:rPr>
          <w:rFonts w:ascii="Arial" w:hAnsi="Arial" w:cs="Arial"/>
        </w:rPr>
        <w:t>Is overbroad or vague.</w:t>
      </w:r>
    </w:p>
    <w:p w14:paraId="5B1DC877" w14:textId="4664969C" w:rsidR="00F64253" w:rsidRDefault="00F64253" w:rsidP="00F64253">
      <w:pPr>
        <w:pStyle w:val="ListParagraph"/>
        <w:numPr>
          <w:ilvl w:val="3"/>
          <w:numId w:val="1"/>
        </w:numPr>
        <w:rPr>
          <w:rFonts w:ascii="Arial" w:hAnsi="Arial" w:cs="Arial"/>
        </w:rPr>
      </w:pPr>
      <w:r>
        <w:rPr>
          <w:rFonts w:ascii="Arial" w:hAnsi="Arial" w:cs="Arial"/>
        </w:rPr>
        <w:t>Is content neutral or content based</w:t>
      </w:r>
      <w:r w:rsidR="004233B1">
        <w:rPr>
          <w:rFonts w:ascii="Arial" w:hAnsi="Arial" w:cs="Arial"/>
        </w:rPr>
        <w:t>.</w:t>
      </w:r>
    </w:p>
    <w:p w14:paraId="4891F74A" w14:textId="0A934A59" w:rsidR="004233B1" w:rsidRDefault="004233B1" w:rsidP="00F64253">
      <w:pPr>
        <w:pStyle w:val="ListParagraph"/>
        <w:numPr>
          <w:ilvl w:val="3"/>
          <w:numId w:val="1"/>
        </w:numPr>
        <w:rPr>
          <w:rFonts w:ascii="Arial" w:hAnsi="Arial" w:cs="Arial"/>
        </w:rPr>
      </w:pPr>
      <w:r>
        <w:rPr>
          <w:rFonts w:ascii="Arial" w:hAnsi="Arial" w:cs="Arial"/>
        </w:rPr>
        <w:t>If content based, whether it discriminates based on viewpoint.</w:t>
      </w:r>
    </w:p>
    <w:p w14:paraId="2714D588" w14:textId="383AFBDB" w:rsidR="004233B1" w:rsidRDefault="004233B1" w:rsidP="004233B1">
      <w:pPr>
        <w:pStyle w:val="ListParagraph"/>
        <w:numPr>
          <w:ilvl w:val="2"/>
          <w:numId w:val="1"/>
        </w:numPr>
        <w:rPr>
          <w:rFonts w:ascii="Arial" w:hAnsi="Arial" w:cs="Arial"/>
        </w:rPr>
      </w:pPr>
      <w:r>
        <w:rPr>
          <w:rFonts w:ascii="Arial" w:hAnsi="Arial" w:cs="Arial"/>
        </w:rPr>
        <w:t>W</w:t>
      </w:r>
      <w:r w:rsidRPr="004233B1">
        <w:rPr>
          <w:rFonts w:ascii="Arial" w:hAnsi="Arial" w:cs="Arial"/>
        </w:rPr>
        <w:t>hen government regulation is found to discriminate based on content, it is subject to strict scrutiny</w:t>
      </w:r>
      <w:r>
        <w:rPr>
          <w:rFonts w:ascii="Arial" w:hAnsi="Arial" w:cs="Arial"/>
        </w:rPr>
        <w:t>.</w:t>
      </w:r>
    </w:p>
    <w:p w14:paraId="2A2FFEB9" w14:textId="6F71CCCF" w:rsidR="004233B1" w:rsidRDefault="004233B1" w:rsidP="004233B1">
      <w:pPr>
        <w:pStyle w:val="ListParagraph"/>
        <w:numPr>
          <w:ilvl w:val="2"/>
          <w:numId w:val="1"/>
        </w:numPr>
        <w:rPr>
          <w:rFonts w:ascii="Arial" w:hAnsi="Arial" w:cs="Arial"/>
        </w:rPr>
      </w:pPr>
      <w:r>
        <w:rPr>
          <w:rFonts w:ascii="Arial" w:hAnsi="Arial" w:cs="Arial"/>
        </w:rPr>
        <w:t>When regulation is content-neutral, it is subject to intermediate scrutiny.</w:t>
      </w:r>
    </w:p>
    <w:p w14:paraId="3FFFB00E" w14:textId="4D515DFF" w:rsidR="00256313" w:rsidRDefault="00256313" w:rsidP="00256313">
      <w:pPr>
        <w:pStyle w:val="ListParagraph"/>
        <w:numPr>
          <w:ilvl w:val="0"/>
          <w:numId w:val="1"/>
        </w:numPr>
        <w:rPr>
          <w:rFonts w:ascii="Arial" w:hAnsi="Arial" w:cs="Arial"/>
        </w:rPr>
      </w:pPr>
      <w:r w:rsidRPr="00256313">
        <w:rPr>
          <w:rFonts w:ascii="Arial" w:hAnsi="Arial" w:cs="Arial"/>
        </w:rPr>
        <w:t>What Is Expression?</w:t>
      </w:r>
    </w:p>
    <w:p w14:paraId="4B502C99" w14:textId="2431E3C2" w:rsidR="00256313" w:rsidRDefault="00256313" w:rsidP="00256313">
      <w:pPr>
        <w:pStyle w:val="ListParagraph"/>
        <w:numPr>
          <w:ilvl w:val="1"/>
          <w:numId w:val="1"/>
        </w:numPr>
        <w:rPr>
          <w:rFonts w:ascii="Arial" w:hAnsi="Arial" w:cs="Arial"/>
        </w:rPr>
      </w:pPr>
      <w:r w:rsidRPr="00256313">
        <w:rPr>
          <w:rFonts w:ascii="Arial" w:hAnsi="Arial" w:cs="Arial"/>
        </w:rPr>
        <w:t>Expressive Conduct</w:t>
      </w:r>
    </w:p>
    <w:p w14:paraId="7CF2C7AD" w14:textId="2CD7CA23" w:rsidR="004233B1" w:rsidRDefault="004233B1" w:rsidP="004233B1">
      <w:pPr>
        <w:pStyle w:val="ListParagraph"/>
        <w:numPr>
          <w:ilvl w:val="2"/>
          <w:numId w:val="1"/>
        </w:numPr>
        <w:rPr>
          <w:rFonts w:ascii="Arial" w:hAnsi="Arial" w:cs="Arial"/>
        </w:rPr>
      </w:pPr>
      <w:r>
        <w:rPr>
          <w:rFonts w:ascii="Arial" w:hAnsi="Arial" w:cs="Arial"/>
        </w:rPr>
        <w:t>E</w:t>
      </w:r>
      <w:r w:rsidRPr="004233B1">
        <w:rPr>
          <w:rFonts w:ascii="Arial" w:hAnsi="Arial" w:cs="Arial"/>
        </w:rPr>
        <w:t>xpressive conduct</w:t>
      </w:r>
      <w:r>
        <w:rPr>
          <w:rFonts w:ascii="Arial" w:hAnsi="Arial" w:cs="Arial"/>
        </w:rPr>
        <w:t xml:space="preserve"> is </w:t>
      </w:r>
      <w:r w:rsidRPr="004233B1">
        <w:rPr>
          <w:rFonts w:ascii="Arial" w:hAnsi="Arial" w:cs="Arial"/>
        </w:rPr>
        <w:t>conduct in which speech and nonspeech elements combine</w:t>
      </w:r>
      <w:r>
        <w:rPr>
          <w:rFonts w:ascii="Arial" w:hAnsi="Arial" w:cs="Arial"/>
        </w:rPr>
        <w:t>.</w:t>
      </w:r>
    </w:p>
    <w:p w14:paraId="5169A60E" w14:textId="6AE47C09"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Stromberg v. California (1931)</w:t>
      </w:r>
    </w:p>
    <w:p w14:paraId="12F22090" w14:textId="499FAAF7" w:rsidR="004233B1" w:rsidRDefault="004233B1" w:rsidP="004233B1">
      <w:pPr>
        <w:pStyle w:val="ListParagraph"/>
        <w:numPr>
          <w:ilvl w:val="3"/>
          <w:numId w:val="1"/>
        </w:numPr>
        <w:rPr>
          <w:rFonts w:ascii="Arial" w:hAnsi="Arial" w:cs="Arial"/>
        </w:rPr>
      </w:pPr>
      <w:r>
        <w:rPr>
          <w:rFonts w:ascii="Arial" w:hAnsi="Arial" w:cs="Arial"/>
        </w:rPr>
        <w:t>T</w:t>
      </w:r>
      <w:r w:rsidRPr="004233B1">
        <w:rPr>
          <w:rFonts w:ascii="Arial" w:hAnsi="Arial" w:cs="Arial"/>
        </w:rPr>
        <w:t>he Court acknowledged that at least some forms of expressive conduct merit protection</w:t>
      </w:r>
      <w:r>
        <w:rPr>
          <w:rFonts w:ascii="Arial" w:hAnsi="Arial" w:cs="Arial"/>
        </w:rPr>
        <w:t>.</w:t>
      </w:r>
    </w:p>
    <w:p w14:paraId="45075FB8" w14:textId="4B51C4C9" w:rsidR="004233B1" w:rsidRPr="004233B1" w:rsidRDefault="004233B1" w:rsidP="004233B1">
      <w:pPr>
        <w:pStyle w:val="ListParagraph"/>
        <w:numPr>
          <w:ilvl w:val="3"/>
          <w:numId w:val="1"/>
        </w:numPr>
        <w:rPr>
          <w:rFonts w:ascii="Arial" w:hAnsi="Arial" w:cs="Arial"/>
        </w:rPr>
      </w:pPr>
      <w:r>
        <w:rPr>
          <w:rFonts w:ascii="Arial" w:hAnsi="Arial" w:cs="Arial"/>
        </w:rPr>
        <w:lastRenderedPageBreak/>
        <w:t>I</w:t>
      </w:r>
      <w:r w:rsidRPr="004233B1">
        <w:rPr>
          <w:rFonts w:ascii="Arial" w:hAnsi="Arial" w:cs="Arial"/>
        </w:rPr>
        <w:t>t reversed the conviction of a camp counselor who had raised a red flag in support of communism, an act that violated California law</w:t>
      </w:r>
      <w:r>
        <w:rPr>
          <w:rFonts w:ascii="Arial" w:hAnsi="Arial" w:cs="Arial"/>
        </w:rPr>
        <w:t>.</w:t>
      </w:r>
    </w:p>
    <w:p w14:paraId="00FEFF0A" w14:textId="4B473641"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Thornhill v. Alabama (1940)</w:t>
      </w:r>
    </w:p>
    <w:p w14:paraId="19FEE8E3" w14:textId="471194F7" w:rsidR="004233B1" w:rsidRPr="004233B1" w:rsidRDefault="004233B1" w:rsidP="004233B1">
      <w:pPr>
        <w:pStyle w:val="ListParagraph"/>
        <w:numPr>
          <w:ilvl w:val="3"/>
          <w:numId w:val="1"/>
        </w:numPr>
        <w:rPr>
          <w:rFonts w:ascii="Arial" w:hAnsi="Arial" w:cs="Arial"/>
        </w:rPr>
      </w:pPr>
      <w:r w:rsidRPr="004233B1">
        <w:rPr>
          <w:rFonts w:ascii="Arial" w:hAnsi="Arial" w:cs="Arial"/>
        </w:rPr>
        <w:t>The Court struck down state laws that prohibited labor union picketing.</w:t>
      </w:r>
    </w:p>
    <w:p w14:paraId="2004D6ED" w14:textId="236DDFFC"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Spence v. Washington (1974)</w:t>
      </w:r>
    </w:p>
    <w:p w14:paraId="65CA51C9" w14:textId="0DBB6F30" w:rsidR="00056767" w:rsidRDefault="00056767" w:rsidP="00056767">
      <w:pPr>
        <w:pStyle w:val="ListParagraph"/>
        <w:numPr>
          <w:ilvl w:val="3"/>
          <w:numId w:val="1"/>
        </w:numPr>
        <w:rPr>
          <w:rFonts w:ascii="Arial" w:hAnsi="Arial" w:cs="Arial"/>
        </w:rPr>
      </w:pPr>
      <w:r>
        <w:rPr>
          <w:rFonts w:ascii="Arial" w:hAnsi="Arial" w:cs="Arial"/>
        </w:rPr>
        <w:t>A</w:t>
      </w:r>
      <w:r w:rsidRPr="00056767">
        <w:rPr>
          <w:rFonts w:ascii="Arial" w:hAnsi="Arial" w:cs="Arial"/>
        </w:rPr>
        <w:t xml:space="preserve"> Washington state law prohibited flag desecration, defined as placing any “word, figure, mark, picture, design, drawing or advertisement” on an American flag.</w:t>
      </w:r>
    </w:p>
    <w:p w14:paraId="5D901280" w14:textId="5C45A7E5" w:rsidR="00056767" w:rsidRDefault="00056767" w:rsidP="00056767">
      <w:pPr>
        <w:pStyle w:val="ListParagraph"/>
        <w:numPr>
          <w:ilvl w:val="3"/>
          <w:numId w:val="1"/>
        </w:numPr>
        <w:rPr>
          <w:rFonts w:ascii="Arial" w:hAnsi="Arial" w:cs="Arial"/>
        </w:rPr>
      </w:pPr>
      <w:r w:rsidRPr="00056767">
        <w:rPr>
          <w:rFonts w:ascii="Arial" w:hAnsi="Arial" w:cs="Arial"/>
        </w:rPr>
        <w:t>Spence, a college student, used tape to make a peace sign on a flag</w:t>
      </w:r>
      <w:r>
        <w:rPr>
          <w:rFonts w:ascii="Arial" w:hAnsi="Arial" w:cs="Arial"/>
        </w:rPr>
        <w:t xml:space="preserve">, </w:t>
      </w:r>
      <w:r w:rsidRPr="00056767">
        <w:rPr>
          <w:rFonts w:ascii="Arial" w:hAnsi="Arial" w:cs="Arial"/>
        </w:rPr>
        <w:t xml:space="preserve">hung it upside down from his apartment, </w:t>
      </w:r>
      <w:r>
        <w:rPr>
          <w:rFonts w:ascii="Arial" w:hAnsi="Arial" w:cs="Arial"/>
        </w:rPr>
        <w:t>and</w:t>
      </w:r>
      <w:r w:rsidRPr="00056767">
        <w:rPr>
          <w:rFonts w:ascii="Arial" w:hAnsi="Arial" w:cs="Arial"/>
        </w:rPr>
        <w:t xml:space="preserve"> was charged with violating the law</w:t>
      </w:r>
      <w:r>
        <w:rPr>
          <w:rFonts w:ascii="Arial" w:hAnsi="Arial" w:cs="Arial"/>
        </w:rPr>
        <w:t>.</w:t>
      </w:r>
    </w:p>
    <w:p w14:paraId="482A04B0" w14:textId="77777777" w:rsidR="00056767" w:rsidRDefault="00056767" w:rsidP="00056767">
      <w:pPr>
        <w:pStyle w:val="ListParagraph"/>
        <w:numPr>
          <w:ilvl w:val="3"/>
          <w:numId w:val="1"/>
        </w:numPr>
        <w:rPr>
          <w:rFonts w:ascii="Arial" w:hAnsi="Arial" w:cs="Arial"/>
        </w:rPr>
      </w:pPr>
      <w:r>
        <w:rPr>
          <w:rFonts w:ascii="Arial" w:hAnsi="Arial" w:cs="Arial"/>
        </w:rPr>
        <w:t>T</w:t>
      </w:r>
      <w:r w:rsidRPr="00056767">
        <w:rPr>
          <w:rFonts w:ascii="Arial" w:hAnsi="Arial" w:cs="Arial"/>
        </w:rPr>
        <w:t>he Court laid out what has become a two-part test:</w:t>
      </w:r>
    </w:p>
    <w:p w14:paraId="6271EA2D" w14:textId="77777777" w:rsidR="00056767" w:rsidRDefault="00056767" w:rsidP="00056767">
      <w:pPr>
        <w:pStyle w:val="ListParagraph"/>
        <w:numPr>
          <w:ilvl w:val="4"/>
          <w:numId w:val="1"/>
        </w:numPr>
        <w:rPr>
          <w:rFonts w:ascii="Arial" w:hAnsi="Arial" w:cs="Arial"/>
        </w:rPr>
      </w:pPr>
      <w:r>
        <w:rPr>
          <w:rFonts w:ascii="Arial" w:hAnsi="Arial" w:cs="Arial"/>
        </w:rPr>
        <w:t>W</w:t>
      </w:r>
      <w:r w:rsidRPr="00056767">
        <w:rPr>
          <w:rFonts w:ascii="Arial" w:hAnsi="Arial" w:cs="Arial"/>
        </w:rPr>
        <w:t>hether there was an intent to convey a particularized message</w:t>
      </w:r>
      <w:r>
        <w:rPr>
          <w:rFonts w:ascii="Arial" w:hAnsi="Arial" w:cs="Arial"/>
        </w:rPr>
        <w:t>.</w:t>
      </w:r>
    </w:p>
    <w:p w14:paraId="7733F88B" w14:textId="5317828B" w:rsidR="00056767" w:rsidRDefault="00056767" w:rsidP="00056767">
      <w:pPr>
        <w:pStyle w:val="ListParagraph"/>
        <w:numPr>
          <w:ilvl w:val="4"/>
          <w:numId w:val="1"/>
        </w:numPr>
        <w:rPr>
          <w:rFonts w:ascii="Arial" w:hAnsi="Arial" w:cs="Arial"/>
        </w:rPr>
      </w:pPr>
      <w:r>
        <w:rPr>
          <w:rFonts w:ascii="Arial" w:hAnsi="Arial" w:cs="Arial"/>
        </w:rPr>
        <w:t>Whether there was</w:t>
      </w:r>
      <w:r w:rsidRPr="00056767">
        <w:rPr>
          <w:rFonts w:ascii="Arial" w:hAnsi="Arial" w:cs="Arial"/>
        </w:rPr>
        <w:t xml:space="preserve"> a reasonable likelihood that it would be understood as such by those who viewed it.</w:t>
      </w:r>
    </w:p>
    <w:p w14:paraId="4DB1DC29" w14:textId="3AC0F0C6" w:rsidR="00056767" w:rsidRPr="00056767" w:rsidRDefault="00056767" w:rsidP="00056767">
      <w:pPr>
        <w:pStyle w:val="ListParagraph"/>
        <w:numPr>
          <w:ilvl w:val="3"/>
          <w:numId w:val="1"/>
        </w:numPr>
        <w:rPr>
          <w:rFonts w:ascii="Arial" w:hAnsi="Arial" w:cs="Arial"/>
        </w:rPr>
      </w:pPr>
      <w:r w:rsidRPr="00056767">
        <w:rPr>
          <w:rFonts w:ascii="Arial" w:hAnsi="Arial" w:cs="Arial"/>
        </w:rPr>
        <w:t xml:space="preserve">Spence’s expression met the standard, </w:t>
      </w:r>
      <w:r>
        <w:rPr>
          <w:rFonts w:ascii="Arial" w:hAnsi="Arial" w:cs="Arial"/>
        </w:rPr>
        <w:t xml:space="preserve">and </w:t>
      </w:r>
      <w:r w:rsidRPr="00056767">
        <w:rPr>
          <w:rFonts w:ascii="Arial" w:hAnsi="Arial" w:cs="Arial"/>
        </w:rPr>
        <w:t>the Court ruled in his favor.</w:t>
      </w:r>
    </w:p>
    <w:p w14:paraId="348DD6FB" w14:textId="00620912" w:rsidR="00CA6731" w:rsidRDefault="00CA6731" w:rsidP="00CA6731">
      <w:pPr>
        <w:pStyle w:val="ListParagraph"/>
        <w:numPr>
          <w:ilvl w:val="2"/>
          <w:numId w:val="1"/>
        </w:numPr>
        <w:rPr>
          <w:rFonts w:ascii="Arial" w:hAnsi="Arial" w:cs="Arial"/>
          <w:i/>
          <w:iCs/>
        </w:rPr>
      </w:pPr>
      <w:r w:rsidRPr="00CA6731">
        <w:rPr>
          <w:rFonts w:ascii="Arial" w:hAnsi="Arial" w:cs="Arial"/>
          <w:i/>
          <w:iCs/>
        </w:rPr>
        <w:t>United States v. O’Brien (1968)</w:t>
      </w:r>
    </w:p>
    <w:p w14:paraId="1283185F" w14:textId="1CF8FEA0" w:rsidR="00056767" w:rsidRDefault="00056767" w:rsidP="00056767">
      <w:pPr>
        <w:pStyle w:val="ListParagraph"/>
        <w:numPr>
          <w:ilvl w:val="3"/>
          <w:numId w:val="1"/>
        </w:numPr>
        <w:rPr>
          <w:rFonts w:ascii="Arial" w:hAnsi="Arial" w:cs="Arial"/>
        </w:rPr>
      </w:pPr>
      <w:r>
        <w:rPr>
          <w:rFonts w:ascii="Arial" w:hAnsi="Arial" w:cs="Arial"/>
        </w:rPr>
        <w:t>T</w:t>
      </w:r>
      <w:r w:rsidRPr="00056767">
        <w:rPr>
          <w:rFonts w:ascii="Arial" w:hAnsi="Arial" w:cs="Arial"/>
        </w:rPr>
        <w:t>he defendants had expressed their opposition to the war in Southeast Asia by publicly and illegally burning their draft cards.</w:t>
      </w:r>
    </w:p>
    <w:p w14:paraId="7759CF19" w14:textId="43970902" w:rsidR="00056767" w:rsidRDefault="00056767" w:rsidP="00056767">
      <w:pPr>
        <w:pStyle w:val="ListParagraph"/>
        <w:numPr>
          <w:ilvl w:val="3"/>
          <w:numId w:val="1"/>
        </w:numPr>
        <w:rPr>
          <w:rFonts w:ascii="Arial" w:hAnsi="Arial" w:cs="Arial"/>
        </w:rPr>
      </w:pPr>
      <w:r>
        <w:rPr>
          <w:rFonts w:ascii="Arial" w:hAnsi="Arial" w:cs="Arial"/>
        </w:rPr>
        <w:t>T</w:t>
      </w:r>
      <w:r w:rsidRPr="00056767">
        <w:rPr>
          <w:rFonts w:ascii="Arial" w:hAnsi="Arial" w:cs="Arial"/>
        </w:rPr>
        <w:t>he Court found that O’Brien’s conduct placed a burden on a legitimate and important government activity</w:t>
      </w:r>
      <w:r>
        <w:rPr>
          <w:rFonts w:ascii="Arial" w:hAnsi="Arial" w:cs="Arial"/>
        </w:rPr>
        <w:t>.</w:t>
      </w:r>
    </w:p>
    <w:p w14:paraId="5AAE6EFA" w14:textId="409D316F" w:rsidR="00056767" w:rsidRPr="00056767" w:rsidRDefault="00056767" w:rsidP="00056767">
      <w:pPr>
        <w:pStyle w:val="ListParagraph"/>
        <w:numPr>
          <w:ilvl w:val="3"/>
          <w:numId w:val="1"/>
        </w:numPr>
        <w:rPr>
          <w:rFonts w:ascii="Arial" w:hAnsi="Arial" w:cs="Arial"/>
        </w:rPr>
      </w:pPr>
      <w:r w:rsidRPr="00056767">
        <w:rPr>
          <w:rFonts w:ascii="Arial" w:hAnsi="Arial" w:cs="Arial"/>
        </w:rPr>
        <w:t>Consequently, the government had the constitutional power to prosecute individuals who violated the Selective Service laws even if the acts in question communicated a message of political protest</w:t>
      </w:r>
      <w:r>
        <w:rPr>
          <w:rFonts w:ascii="Arial" w:hAnsi="Arial" w:cs="Arial"/>
        </w:rPr>
        <w:t>.</w:t>
      </w:r>
    </w:p>
    <w:p w14:paraId="2F3F8E2D" w14:textId="508E6FDD" w:rsidR="00CA6731" w:rsidRDefault="00CA6731" w:rsidP="00CA6731">
      <w:pPr>
        <w:pStyle w:val="ListParagraph"/>
        <w:numPr>
          <w:ilvl w:val="2"/>
          <w:numId w:val="1"/>
        </w:numPr>
        <w:rPr>
          <w:rFonts w:ascii="Arial" w:hAnsi="Arial" w:cs="Arial"/>
          <w:i/>
          <w:iCs/>
        </w:rPr>
      </w:pPr>
      <w:r w:rsidRPr="00CA6731">
        <w:rPr>
          <w:rFonts w:ascii="Arial" w:hAnsi="Arial" w:cs="Arial"/>
          <w:i/>
          <w:iCs/>
        </w:rPr>
        <w:t>Tinker v. Des Moines (1969)</w:t>
      </w:r>
    </w:p>
    <w:p w14:paraId="185B3AF3" w14:textId="0F2297A5" w:rsidR="00056767" w:rsidRPr="00056767" w:rsidRDefault="00056767" w:rsidP="00056767">
      <w:pPr>
        <w:pStyle w:val="ListParagraph"/>
        <w:numPr>
          <w:ilvl w:val="3"/>
          <w:numId w:val="1"/>
        </w:numPr>
        <w:rPr>
          <w:rFonts w:ascii="Arial" w:hAnsi="Arial" w:cs="Arial"/>
        </w:rPr>
      </w:pPr>
      <w:r>
        <w:rPr>
          <w:rFonts w:ascii="Arial" w:hAnsi="Arial" w:cs="Arial"/>
        </w:rPr>
        <w:t xml:space="preserve">This case </w:t>
      </w:r>
      <w:r w:rsidRPr="00056767">
        <w:rPr>
          <w:rFonts w:ascii="Arial" w:hAnsi="Arial" w:cs="Arial"/>
        </w:rPr>
        <w:t>upheld the right of public school children to wear black armbands to express their opposition to the Vietnam War</w:t>
      </w:r>
      <w:r>
        <w:rPr>
          <w:rFonts w:ascii="Arial" w:hAnsi="Arial" w:cs="Arial"/>
        </w:rPr>
        <w:t>.</w:t>
      </w:r>
    </w:p>
    <w:p w14:paraId="27FC269B" w14:textId="22F0D6D6" w:rsidR="00CA6731" w:rsidRDefault="00CA6731" w:rsidP="00CA6731">
      <w:pPr>
        <w:pStyle w:val="ListParagraph"/>
        <w:numPr>
          <w:ilvl w:val="2"/>
          <w:numId w:val="1"/>
        </w:numPr>
        <w:rPr>
          <w:rFonts w:ascii="Arial" w:hAnsi="Arial" w:cs="Arial"/>
          <w:i/>
          <w:iCs/>
        </w:rPr>
      </w:pPr>
      <w:r w:rsidRPr="00CA6731">
        <w:rPr>
          <w:rFonts w:ascii="Arial" w:hAnsi="Arial" w:cs="Arial"/>
          <w:i/>
          <w:iCs/>
        </w:rPr>
        <w:t>Texas v. Johnson (1989)</w:t>
      </w:r>
    </w:p>
    <w:p w14:paraId="06D54E3D" w14:textId="59C4FF9C" w:rsidR="00056767" w:rsidRDefault="00056767" w:rsidP="00056767">
      <w:pPr>
        <w:pStyle w:val="ListParagraph"/>
        <w:numPr>
          <w:ilvl w:val="3"/>
          <w:numId w:val="1"/>
        </w:numPr>
        <w:rPr>
          <w:rFonts w:ascii="Arial" w:hAnsi="Arial" w:cs="Arial"/>
        </w:rPr>
      </w:pPr>
      <w:r w:rsidRPr="00056767">
        <w:rPr>
          <w:rFonts w:ascii="Arial" w:hAnsi="Arial" w:cs="Arial"/>
        </w:rPr>
        <w:t>Even the justices who were most committed to free speech indicated their discomfort in extending First Amendment protection to those who burned the flag as a method of political expression.</w:t>
      </w:r>
    </w:p>
    <w:p w14:paraId="0E8E841F" w14:textId="12130449" w:rsidR="00056767" w:rsidRPr="00056767" w:rsidRDefault="00E07374" w:rsidP="00056767">
      <w:pPr>
        <w:pStyle w:val="ListParagraph"/>
        <w:numPr>
          <w:ilvl w:val="3"/>
          <w:numId w:val="1"/>
        </w:numPr>
        <w:rPr>
          <w:rFonts w:ascii="Arial" w:hAnsi="Arial" w:cs="Arial"/>
        </w:rPr>
      </w:pPr>
      <w:r>
        <w:rPr>
          <w:rFonts w:ascii="Arial" w:hAnsi="Arial" w:cs="Arial"/>
        </w:rPr>
        <w:t>The Court found in favor of Johnson.</w:t>
      </w:r>
    </w:p>
    <w:p w14:paraId="2A6E5710" w14:textId="66FCCC25" w:rsidR="00CA6731" w:rsidRDefault="00CA6731" w:rsidP="00CA6731">
      <w:pPr>
        <w:pStyle w:val="ListParagraph"/>
        <w:numPr>
          <w:ilvl w:val="2"/>
          <w:numId w:val="1"/>
        </w:numPr>
        <w:rPr>
          <w:rFonts w:ascii="Arial" w:hAnsi="Arial" w:cs="Arial"/>
          <w:i/>
          <w:iCs/>
        </w:rPr>
      </w:pPr>
      <w:r w:rsidRPr="00CA6731">
        <w:rPr>
          <w:rFonts w:ascii="Arial" w:hAnsi="Arial" w:cs="Arial"/>
          <w:i/>
          <w:iCs/>
        </w:rPr>
        <w:t>United States v. Eichman (1990)</w:t>
      </w:r>
    </w:p>
    <w:p w14:paraId="78E5D37A" w14:textId="26A0F97B" w:rsidR="00E07374" w:rsidRDefault="00E07374" w:rsidP="00E07374">
      <w:pPr>
        <w:pStyle w:val="ListParagraph"/>
        <w:numPr>
          <w:ilvl w:val="3"/>
          <w:numId w:val="1"/>
        </w:numPr>
        <w:rPr>
          <w:rFonts w:ascii="Arial" w:hAnsi="Arial" w:cs="Arial"/>
        </w:rPr>
      </w:pPr>
      <w:r w:rsidRPr="00E07374">
        <w:rPr>
          <w:rFonts w:ascii="Arial" w:hAnsi="Arial" w:cs="Arial"/>
        </w:rPr>
        <w:t>Congress instead passed the Flag Protection Act of 1989, which penalized by a one-year jail sentence and a $1,000 fine anyone who “knowingly mutilates, defaces, physically defiles, burns, maintains on the floor or ground, or tramples upon any flag of the United States.”</w:t>
      </w:r>
    </w:p>
    <w:p w14:paraId="72C5C249" w14:textId="5226AF78" w:rsidR="00E07374" w:rsidRDefault="00E07374" w:rsidP="00E07374">
      <w:pPr>
        <w:pStyle w:val="ListParagraph"/>
        <w:numPr>
          <w:ilvl w:val="3"/>
          <w:numId w:val="1"/>
        </w:numPr>
        <w:rPr>
          <w:rFonts w:ascii="Arial" w:hAnsi="Arial" w:cs="Arial"/>
        </w:rPr>
      </w:pPr>
      <w:r>
        <w:rPr>
          <w:rFonts w:ascii="Arial" w:hAnsi="Arial" w:cs="Arial"/>
        </w:rPr>
        <w:lastRenderedPageBreak/>
        <w:t xml:space="preserve">Unlike the Texas law, this law </w:t>
      </w:r>
      <w:r w:rsidRPr="00E07374">
        <w:rPr>
          <w:rFonts w:ascii="Arial" w:hAnsi="Arial" w:cs="Arial"/>
        </w:rPr>
        <w:t>banned flag desecration regardless of the motivation of the burner</w:t>
      </w:r>
      <w:r>
        <w:rPr>
          <w:rFonts w:ascii="Arial" w:hAnsi="Arial" w:cs="Arial"/>
        </w:rPr>
        <w:t>.</w:t>
      </w:r>
    </w:p>
    <w:p w14:paraId="495A1BA6" w14:textId="7AA2DBF3" w:rsidR="00E07374" w:rsidRPr="00E07374" w:rsidRDefault="00E07374" w:rsidP="00E07374">
      <w:pPr>
        <w:pStyle w:val="ListParagraph"/>
        <w:numPr>
          <w:ilvl w:val="3"/>
          <w:numId w:val="1"/>
        </w:numPr>
        <w:rPr>
          <w:rFonts w:ascii="Arial" w:hAnsi="Arial" w:cs="Arial"/>
        </w:rPr>
      </w:pPr>
      <w:r>
        <w:rPr>
          <w:rFonts w:ascii="Arial" w:hAnsi="Arial" w:cs="Arial"/>
        </w:rPr>
        <w:t>T</w:t>
      </w:r>
      <w:r w:rsidRPr="00E07374">
        <w:rPr>
          <w:rFonts w:ascii="Arial" w:hAnsi="Arial" w:cs="Arial"/>
        </w:rPr>
        <w:t xml:space="preserve">he Court, using the same reasoning expressed in </w:t>
      </w:r>
      <w:r w:rsidRPr="00E07374">
        <w:rPr>
          <w:rFonts w:ascii="Arial" w:hAnsi="Arial" w:cs="Arial"/>
          <w:i/>
          <w:iCs/>
        </w:rPr>
        <w:t>Johnson</w:t>
      </w:r>
      <w:r w:rsidRPr="00E07374">
        <w:rPr>
          <w:rFonts w:ascii="Arial" w:hAnsi="Arial" w:cs="Arial"/>
        </w:rPr>
        <w:t xml:space="preserve"> and by the same vote, struck down this law as a violation of the First Amendment</w:t>
      </w:r>
      <w:r w:rsidR="00714814">
        <w:rPr>
          <w:rFonts w:ascii="Arial" w:hAnsi="Arial" w:cs="Arial"/>
        </w:rPr>
        <w:t>.</w:t>
      </w:r>
    </w:p>
    <w:p w14:paraId="3DCBE246" w14:textId="5A1B5F15" w:rsidR="00256313" w:rsidRDefault="00256313" w:rsidP="00256313">
      <w:pPr>
        <w:pStyle w:val="ListParagraph"/>
        <w:numPr>
          <w:ilvl w:val="1"/>
          <w:numId w:val="1"/>
        </w:numPr>
        <w:rPr>
          <w:rFonts w:ascii="Arial" w:hAnsi="Arial" w:cs="Arial"/>
        </w:rPr>
      </w:pPr>
      <w:r w:rsidRPr="00256313">
        <w:rPr>
          <w:rFonts w:ascii="Arial" w:hAnsi="Arial" w:cs="Arial"/>
        </w:rPr>
        <w:t>Association as Expression</w:t>
      </w:r>
    </w:p>
    <w:p w14:paraId="5BB5B64F" w14:textId="2102C5C5" w:rsidR="00E07374" w:rsidRDefault="00E07374" w:rsidP="00E07374">
      <w:pPr>
        <w:pStyle w:val="ListParagraph"/>
        <w:numPr>
          <w:ilvl w:val="2"/>
          <w:numId w:val="1"/>
        </w:numPr>
        <w:rPr>
          <w:rFonts w:ascii="Arial" w:hAnsi="Arial" w:cs="Arial"/>
        </w:rPr>
      </w:pPr>
      <w:r>
        <w:rPr>
          <w:rFonts w:ascii="Arial" w:hAnsi="Arial" w:cs="Arial"/>
        </w:rPr>
        <w:t>T</w:t>
      </w:r>
      <w:r w:rsidRPr="00E07374">
        <w:rPr>
          <w:rFonts w:ascii="Arial" w:hAnsi="Arial" w:cs="Arial"/>
        </w:rPr>
        <w:t>he Supreme Court has long regarded the right to join with like-minded individuals to advance mutual goals as essential to the exercise of political and social expression</w:t>
      </w:r>
      <w:r>
        <w:rPr>
          <w:rFonts w:ascii="Arial" w:hAnsi="Arial" w:cs="Arial"/>
        </w:rPr>
        <w:t>.</w:t>
      </w:r>
    </w:p>
    <w:p w14:paraId="7F1FD004" w14:textId="1D9D0FC8"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NAACP v. Alabama (1958)</w:t>
      </w:r>
    </w:p>
    <w:p w14:paraId="6DB38969" w14:textId="696CB9E0" w:rsidR="00E07374" w:rsidRDefault="00E07374" w:rsidP="00E07374">
      <w:pPr>
        <w:pStyle w:val="ListParagraph"/>
        <w:numPr>
          <w:ilvl w:val="3"/>
          <w:numId w:val="1"/>
        </w:numPr>
        <w:rPr>
          <w:rFonts w:ascii="Arial" w:hAnsi="Arial" w:cs="Arial"/>
        </w:rPr>
      </w:pPr>
      <w:r w:rsidRPr="00E07374">
        <w:rPr>
          <w:rFonts w:ascii="Arial" w:hAnsi="Arial" w:cs="Arial"/>
        </w:rPr>
        <w:t>Justice John Marshall Harlan II</w:t>
      </w:r>
      <w:r>
        <w:rPr>
          <w:rFonts w:ascii="Arial" w:hAnsi="Arial" w:cs="Arial"/>
        </w:rPr>
        <w:t xml:space="preserve"> explained, “</w:t>
      </w:r>
      <w:r w:rsidRPr="00E07374">
        <w:rPr>
          <w:rFonts w:ascii="Arial" w:hAnsi="Arial" w:cs="Arial"/>
        </w:rPr>
        <w:t>Effective advocacy of both public and private points of view, particularly controversial ones, is undeniably enhanced by group association.</w:t>
      </w:r>
      <w:r>
        <w:rPr>
          <w:rFonts w:ascii="Arial" w:hAnsi="Arial" w:cs="Arial"/>
        </w:rPr>
        <w:t>”</w:t>
      </w:r>
    </w:p>
    <w:p w14:paraId="3BE345BC" w14:textId="35C88FDD" w:rsidR="00E07374" w:rsidRPr="00E07374" w:rsidRDefault="00E07374" w:rsidP="00E07374">
      <w:pPr>
        <w:pStyle w:val="ListParagraph"/>
        <w:numPr>
          <w:ilvl w:val="3"/>
          <w:numId w:val="1"/>
        </w:numPr>
        <w:rPr>
          <w:rFonts w:ascii="Arial" w:hAnsi="Arial" w:cs="Arial"/>
        </w:rPr>
      </w:pPr>
      <w:r>
        <w:rPr>
          <w:rFonts w:ascii="Arial" w:hAnsi="Arial" w:cs="Arial"/>
        </w:rPr>
        <w:t xml:space="preserve">Freedom of association was regarded as </w:t>
      </w:r>
      <w:r w:rsidRPr="00E07374">
        <w:rPr>
          <w:rFonts w:ascii="Arial" w:hAnsi="Arial" w:cs="Arial"/>
        </w:rPr>
        <w:t xml:space="preserve">an inseparable aspect of the </w:t>
      </w:r>
      <w:r w:rsidR="00714814">
        <w:rPr>
          <w:rFonts w:ascii="Arial" w:hAnsi="Arial" w:cs="Arial"/>
        </w:rPr>
        <w:t>“</w:t>
      </w:r>
      <w:r w:rsidRPr="00E07374">
        <w:rPr>
          <w:rFonts w:ascii="Arial" w:hAnsi="Arial" w:cs="Arial"/>
        </w:rPr>
        <w:t>liberty</w:t>
      </w:r>
      <w:r w:rsidR="00714814">
        <w:rPr>
          <w:rFonts w:ascii="Arial" w:hAnsi="Arial" w:cs="Arial"/>
        </w:rPr>
        <w:t>”</w:t>
      </w:r>
      <w:r w:rsidRPr="00E07374">
        <w:rPr>
          <w:rFonts w:ascii="Arial" w:hAnsi="Arial" w:cs="Arial"/>
        </w:rPr>
        <w:t xml:space="preserve"> assured by the Due Process Clause of the Fourteenth Amendment.</w:t>
      </w:r>
    </w:p>
    <w:p w14:paraId="107C5ED6" w14:textId="7BC3A5D3"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Roberts v. United States Jaycees (1984)</w:t>
      </w:r>
    </w:p>
    <w:p w14:paraId="483DD6AA" w14:textId="48158E12" w:rsidR="00E07374" w:rsidRDefault="00E07374" w:rsidP="00E07374">
      <w:pPr>
        <w:pStyle w:val="ListParagraph"/>
        <w:numPr>
          <w:ilvl w:val="3"/>
          <w:numId w:val="1"/>
        </w:numPr>
        <w:rPr>
          <w:rFonts w:ascii="Arial" w:hAnsi="Arial" w:cs="Arial"/>
        </w:rPr>
      </w:pPr>
      <w:r w:rsidRPr="00E07374">
        <w:rPr>
          <w:rFonts w:ascii="Arial" w:hAnsi="Arial" w:cs="Arial"/>
        </w:rPr>
        <w:t>The Jaycees</w:t>
      </w:r>
      <w:r>
        <w:rPr>
          <w:rFonts w:ascii="Arial" w:hAnsi="Arial" w:cs="Arial"/>
        </w:rPr>
        <w:t xml:space="preserve"> </w:t>
      </w:r>
      <w:r w:rsidRPr="00E07374">
        <w:rPr>
          <w:rFonts w:ascii="Arial" w:hAnsi="Arial" w:cs="Arial"/>
        </w:rPr>
        <w:t>is a private civic organization founded to help young men participate in the affairs of their community.</w:t>
      </w:r>
    </w:p>
    <w:p w14:paraId="324620AE" w14:textId="0D9D16E0" w:rsidR="00E07374" w:rsidRDefault="00ED4189" w:rsidP="00E07374">
      <w:pPr>
        <w:pStyle w:val="ListParagraph"/>
        <w:numPr>
          <w:ilvl w:val="3"/>
          <w:numId w:val="1"/>
        </w:numPr>
        <w:rPr>
          <w:rFonts w:ascii="Arial" w:hAnsi="Arial" w:cs="Arial"/>
        </w:rPr>
      </w:pPr>
      <w:r w:rsidRPr="00ED4189">
        <w:rPr>
          <w:rFonts w:ascii="Arial" w:hAnsi="Arial" w:cs="Arial"/>
        </w:rPr>
        <w:t>The Minnesota Department of Human Rights claimed that the organization’s exclusion of women violated a state law prohibiting sex-based discrimination in public accommodations.</w:t>
      </w:r>
    </w:p>
    <w:p w14:paraId="4068E809" w14:textId="3464A8BD" w:rsidR="00ED4189" w:rsidRDefault="00ED4189" w:rsidP="00E07374">
      <w:pPr>
        <w:pStyle w:val="ListParagraph"/>
        <w:numPr>
          <w:ilvl w:val="3"/>
          <w:numId w:val="1"/>
        </w:numPr>
        <w:rPr>
          <w:rFonts w:ascii="Arial" w:hAnsi="Arial" w:cs="Arial"/>
        </w:rPr>
      </w:pPr>
      <w:r w:rsidRPr="00ED4189">
        <w:rPr>
          <w:rFonts w:ascii="Arial" w:hAnsi="Arial" w:cs="Arial"/>
        </w:rPr>
        <w:t>The Jaycees argued that applying the Minnesota antidiscrimination law to its membership policies was a violation of the First Amendment’s right to freedom of association.</w:t>
      </w:r>
    </w:p>
    <w:p w14:paraId="2B9523EE" w14:textId="63F0424D" w:rsidR="00ED4189" w:rsidRPr="00E07374" w:rsidRDefault="00ED4189" w:rsidP="00E07374">
      <w:pPr>
        <w:pStyle w:val="ListParagraph"/>
        <w:numPr>
          <w:ilvl w:val="3"/>
          <w:numId w:val="1"/>
        </w:numPr>
        <w:rPr>
          <w:rFonts w:ascii="Arial" w:hAnsi="Arial" w:cs="Arial"/>
        </w:rPr>
      </w:pPr>
      <w:r>
        <w:rPr>
          <w:rFonts w:ascii="Arial" w:hAnsi="Arial" w:cs="Arial"/>
        </w:rPr>
        <w:t>T</w:t>
      </w:r>
      <w:r w:rsidRPr="00ED4189">
        <w:rPr>
          <w:rFonts w:ascii="Arial" w:hAnsi="Arial" w:cs="Arial"/>
        </w:rPr>
        <w:t>he Court ruled against the Jaycees</w:t>
      </w:r>
      <w:r>
        <w:rPr>
          <w:rFonts w:ascii="Arial" w:hAnsi="Arial" w:cs="Arial"/>
        </w:rPr>
        <w:t>.</w:t>
      </w:r>
    </w:p>
    <w:p w14:paraId="4D47F082" w14:textId="2F930C20" w:rsidR="00CA6731" w:rsidRDefault="00CA6731" w:rsidP="00CA6731">
      <w:pPr>
        <w:pStyle w:val="ListParagraph"/>
        <w:numPr>
          <w:ilvl w:val="2"/>
          <w:numId w:val="1"/>
        </w:numPr>
        <w:rPr>
          <w:rFonts w:ascii="Arial" w:hAnsi="Arial" w:cs="Arial"/>
          <w:i/>
          <w:iCs/>
        </w:rPr>
      </w:pPr>
      <w:r w:rsidRPr="00CA6731">
        <w:rPr>
          <w:rFonts w:ascii="Arial" w:hAnsi="Arial" w:cs="Arial"/>
          <w:i/>
          <w:iCs/>
        </w:rPr>
        <w:t>Board of Directors of Rotary International v. Rotary Club of Duarte</w:t>
      </w:r>
      <w:r>
        <w:rPr>
          <w:rFonts w:ascii="Arial" w:hAnsi="Arial" w:cs="Arial"/>
          <w:i/>
          <w:iCs/>
        </w:rPr>
        <w:t xml:space="preserve"> (1987)</w:t>
      </w:r>
    </w:p>
    <w:p w14:paraId="3672A1E2" w14:textId="0A36579F" w:rsidR="00ED4189" w:rsidRPr="00ED4189" w:rsidRDefault="00ED4189" w:rsidP="00ED4189">
      <w:pPr>
        <w:pStyle w:val="ListParagraph"/>
        <w:numPr>
          <w:ilvl w:val="3"/>
          <w:numId w:val="1"/>
        </w:numPr>
        <w:rPr>
          <w:rFonts w:ascii="Arial" w:hAnsi="Arial" w:cs="Arial"/>
        </w:rPr>
      </w:pPr>
      <w:r>
        <w:rPr>
          <w:rFonts w:ascii="Arial" w:hAnsi="Arial" w:cs="Arial"/>
        </w:rPr>
        <w:t>T</w:t>
      </w:r>
      <w:r w:rsidRPr="00ED4189">
        <w:rPr>
          <w:rFonts w:ascii="Arial" w:hAnsi="Arial" w:cs="Arial"/>
        </w:rPr>
        <w:t>he Court approved the enforcement of California’s antidiscrimination laws against Rotary Club chapters that excluded women as regular members</w:t>
      </w:r>
      <w:r>
        <w:rPr>
          <w:rFonts w:ascii="Arial" w:hAnsi="Arial" w:cs="Arial"/>
        </w:rPr>
        <w:t>.</w:t>
      </w:r>
    </w:p>
    <w:p w14:paraId="6BD1F55C" w14:textId="5D1FE3B0" w:rsidR="00CA6731" w:rsidRDefault="00CA6731" w:rsidP="00CA6731">
      <w:pPr>
        <w:pStyle w:val="ListParagraph"/>
        <w:numPr>
          <w:ilvl w:val="2"/>
          <w:numId w:val="1"/>
        </w:numPr>
        <w:rPr>
          <w:rFonts w:ascii="Arial" w:hAnsi="Arial" w:cs="Arial"/>
          <w:i/>
          <w:iCs/>
        </w:rPr>
      </w:pPr>
      <w:r w:rsidRPr="00CA6731">
        <w:rPr>
          <w:rFonts w:ascii="Arial" w:hAnsi="Arial" w:cs="Arial"/>
          <w:i/>
          <w:iCs/>
        </w:rPr>
        <w:t>New York State Club Association v. City of New York (1988)</w:t>
      </w:r>
    </w:p>
    <w:p w14:paraId="3BFECDAE" w14:textId="7DD616B9" w:rsidR="00ED4189" w:rsidRPr="00ED4189" w:rsidRDefault="00ED4189" w:rsidP="00ED4189">
      <w:pPr>
        <w:pStyle w:val="ListParagraph"/>
        <w:numPr>
          <w:ilvl w:val="3"/>
          <w:numId w:val="1"/>
        </w:numPr>
        <w:rPr>
          <w:rFonts w:ascii="Arial" w:hAnsi="Arial" w:cs="Arial"/>
        </w:rPr>
      </w:pPr>
      <w:r>
        <w:rPr>
          <w:rFonts w:ascii="Arial" w:hAnsi="Arial" w:cs="Arial"/>
        </w:rPr>
        <w:t>T</w:t>
      </w:r>
      <w:r w:rsidRPr="00ED4189">
        <w:rPr>
          <w:rFonts w:ascii="Arial" w:hAnsi="Arial" w:cs="Arial"/>
        </w:rPr>
        <w:t xml:space="preserve">he </w:t>
      </w:r>
      <w:r>
        <w:rPr>
          <w:rFonts w:ascii="Arial" w:hAnsi="Arial" w:cs="Arial"/>
        </w:rPr>
        <w:t>Court</w:t>
      </w:r>
      <w:r w:rsidRPr="00ED4189">
        <w:rPr>
          <w:rFonts w:ascii="Arial" w:hAnsi="Arial" w:cs="Arial"/>
        </w:rPr>
        <w:t xml:space="preserve"> upheld a New York ordinance that applied antidiscrimination regulations to organizations having more than four hundred members, providing regular meal service, and receiving payment from nonmembers for services or facilities for the furtherance of business interests.</w:t>
      </w:r>
    </w:p>
    <w:p w14:paraId="7396A691" w14:textId="48F95031"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Hurley v. Irish-American Gay, Lesbian and Bisexual Group of Boston (1995)</w:t>
      </w:r>
    </w:p>
    <w:p w14:paraId="6C2595D2" w14:textId="172C51D6" w:rsidR="00ED4189" w:rsidRDefault="00ED4189" w:rsidP="00ED4189">
      <w:pPr>
        <w:pStyle w:val="ListParagraph"/>
        <w:numPr>
          <w:ilvl w:val="3"/>
          <w:numId w:val="1"/>
        </w:numPr>
        <w:rPr>
          <w:rFonts w:ascii="Arial" w:hAnsi="Arial" w:cs="Arial"/>
        </w:rPr>
      </w:pPr>
      <w:r>
        <w:rPr>
          <w:rFonts w:ascii="Arial" w:hAnsi="Arial" w:cs="Arial"/>
        </w:rPr>
        <w:t>A</w:t>
      </w:r>
      <w:r w:rsidRPr="00ED4189">
        <w:rPr>
          <w:rFonts w:ascii="Arial" w:hAnsi="Arial" w:cs="Arial"/>
        </w:rPr>
        <w:t xml:space="preserve"> private association organizing a Saint Patrick’s Day parade in Boston rejected the application of a gay rights group to march in the celebration.</w:t>
      </w:r>
    </w:p>
    <w:p w14:paraId="4A16D26A" w14:textId="77777777" w:rsidR="00ED4189" w:rsidRDefault="00ED4189" w:rsidP="00ED4189">
      <w:pPr>
        <w:pStyle w:val="ListParagraph"/>
        <w:numPr>
          <w:ilvl w:val="3"/>
          <w:numId w:val="1"/>
        </w:numPr>
        <w:rPr>
          <w:rFonts w:ascii="Arial" w:hAnsi="Arial" w:cs="Arial"/>
        </w:rPr>
      </w:pPr>
      <w:r w:rsidRPr="00ED4189">
        <w:rPr>
          <w:rFonts w:ascii="Arial" w:hAnsi="Arial" w:cs="Arial"/>
        </w:rPr>
        <w:t>The gay rights group sued, claiming that its exclusion from the parade violated the Massachusetts antidiscrimination statute.</w:t>
      </w:r>
    </w:p>
    <w:p w14:paraId="797FB0E2" w14:textId="5CECA52D" w:rsidR="00ED4189" w:rsidRPr="00ED4189" w:rsidRDefault="00ED4189" w:rsidP="00ED4189">
      <w:pPr>
        <w:pStyle w:val="ListParagraph"/>
        <w:numPr>
          <w:ilvl w:val="3"/>
          <w:numId w:val="1"/>
        </w:numPr>
        <w:rPr>
          <w:rFonts w:ascii="Arial" w:hAnsi="Arial" w:cs="Arial"/>
        </w:rPr>
      </w:pPr>
      <w:r w:rsidRPr="00ED4189">
        <w:rPr>
          <w:rFonts w:ascii="Arial" w:hAnsi="Arial" w:cs="Arial"/>
        </w:rPr>
        <w:t>The Court unanimously held that the First Amendment is violated by a state law requiring private sponsors of a parade to include among the marchers a group imparting a message that the organizers do not wish to convey.</w:t>
      </w:r>
    </w:p>
    <w:p w14:paraId="0124D31C" w14:textId="0FEC7FA3" w:rsidR="00CA6731" w:rsidRDefault="00CA6731" w:rsidP="00CA6731">
      <w:pPr>
        <w:pStyle w:val="ListParagraph"/>
        <w:numPr>
          <w:ilvl w:val="2"/>
          <w:numId w:val="1"/>
        </w:numPr>
        <w:rPr>
          <w:rFonts w:ascii="Arial" w:hAnsi="Arial" w:cs="Arial"/>
          <w:i/>
          <w:iCs/>
        </w:rPr>
      </w:pPr>
      <w:r w:rsidRPr="00CA6731">
        <w:rPr>
          <w:rFonts w:ascii="Arial" w:hAnsi="Arial" w:cs="Arial"/>
          <w:i/>
          <w:iCs/>
        </w:rPr>
        <w:t>Boy Scouts of America v. Dale (2000)</w:t>
      </w:r>
    </w:p>
    <w:p w14:paraId="746CA465" w14:textId="2AC426C3" w:rsidR="00ED4189" w:rsidRDefault="00ED4189" w:rsidP="00ED4189">
      <w:pPr>
        <w:pStyle w:val="ListParagraph"/>
        <w:numPr>
          <w:ilvl w:val="3"/>
          <w:numId w:val="1"/>
        </w:numPr>
        <w:rPr>
          <w:rFonts w:ascii="Arial" w:hAnsi="Arial" w:cs="Arial"/>
        </w:rPr>
      </w:pPr>
      <w:r>
        <w:rPr>
          <w:rFonts w:ascii="Arial" w:hAnsi="Arial" w:cs="Arial"/>
        </w:rPr>
        <w:t xml:space="preserve">This case was </w:t>
      </w:r>
      <w:r w:rsidRPr="00ED4189">
        <w:rPr>
          <w:rFonts w:ascii="Arial" w:hAnsi="Arial" w:cs="Arial"/>
        </w:rPr>
        <w:t>a challenge to the dismissal of a scout leader on sexual orientation grounds</w:t>
      </w:r>
      <w:r>
        <w:rPr>
          <w:rFonts w:ascii="Arial" w:hAnsi="Arial" w:cs="Arial"/>
        </w:rPr>
        <w:t>.</w:t>
      </w:r>
    </w:p>
    <w:p w14:paraId="6CCC8A8F" w14:textId="30096B78" w:rsidR="00ED4189" w:rsidRPr="00ED4189" w:rsidRDefault="00ED4189" w:rsidP="00ED4189">
      <w:pPr>
        <w:pStyle w:val="ListParagraph"/>
        <w:numPr>
          <w:ilvl w:val="3"/>
          <w:numId w:val="1"/>
        </w:numPr>
        <w:rPr>
          <w:rFonts w:ascii="Arial" w:hAnsi="Arial" w:cs="Arial"/>
        </w:rPr>
      </w:pPr>
      <w:r>
        <w:rPr>
          <w:rFonts w:ascii="Arial" w:hAnsi="Arial" w:cs="Arial"/>
        </w:rPr>
        <w:t xml:space="preserve">The justices’ </w:t>
      </w:r>
      <w:r w:rsidRPr="00ED4189">
        <w:rPr>
          <w:rFonts w:ascii="Arial" w:hAnsi="Arial" w:cs="Arial"/>
        </w:rPr>
        <w:t>divisions centered more on factual questions about nature of the organization’s beliefs and activities than on the constitutional principles governing free association</w:t>
      </w:r>
      <w:r>
        <w:rPr>
          <w:rFonts w:ascii="Arial" w:hAnsi="Arial" w:cs="Arial"/>
        </w:rPr>
        <w:t>.</w:t>
      </w:r>
    </w:p>
    <w:p w14:paraId="615348F1" w14:textId="14768E4F" w:rsidR="00256313" w:rsidRDefault="00256313" w:rsidP="00256313">
      <w:pPr>
        <w:pStyle w:val="ListParagraph"/>
        <w:numPr>
          <w:ilvl w:val="1"/>
          <w:numId w:val="1"/>
        </w:numPr>
        <w:rPr>
          <w:rFonts w:ascii="Arial" w:hAnsi="Arial" w:cs="Arial"/>
        </w:rPr>
      </w:pPr>
      <w:r w:rsidRPr="00256313">
        <w:rPr>
          <w:rFonts w:ascii="Arial" w:hAnsi="Arial" w:cs="Arial"/>
        </w:rPr>
        <w:t>The Right Not to Speak (Compelled Speech)</w:t>
      </w:r>
    </w:p>
    <w:p w14:paraId="6F3C9A29" w14:textId="21188CDD" w:rsidR="00ED4189" w:rsidRPr="00ED4189" w:rsidRDefault="00ED4189" w:rsidP="00ED4189">
      <w:pPr>
        <w:pStyle w:val="ListParagraph"/>
        <w:numPr>
          <w:ilvl w:val="2"/>
          <w:numId w:val="1"/>
        </w:numPr>
        <w:rPr>
          <w:rFonts w:ascii="Arial" w:hAnsi="Arial" w:cs="Arial"/>
        </w:rPr>
      </w:pPr>
      <w:r>
        <w:rPr>
          <w:rFonts w:ascii="Arial" w:hAnsi="Arial" w:cs="Arial"/>
        </w:rPr>
        <w:t>T</w:t>
      </w:r>
      <w:r w:rsidRPr="00ED4189">
        <w:rPr>
          <w:rFonts w:ascii="Arial" w:hAnsi="Arial" w:cs="Arial"/>
        </w:rPr>
        <w:t>he government may attempt to regulate expression by requiring us to speak or write.</w:t>
      </w:r>
    </w:p>
    <w:p w14:paraId="7FB014E2" w14:textId="4497EE10" w:rsidR="00CA6731" w:rsidRDefault="00CA6731" w:rsidP="00CA6731">
      <w:pPr>
        <w:pStyle w:val="ListParagraph"/>
        <w:numPr>
          <w:ilvl w:val="2"/>
          <w:numId w:val="1"/>
        </w:numPr>
        <w:rPr>
          <w:rFonts w:ascii="Arial" w:hAnsi="Arial" w:cs="Arial"/>
          <w:i/>
          <w:iCs/>
        </w:rPr>
      </w:pPr>
      <w:r w:rsidRPr="00CA6731">
        <w:rPr>
          <w:rFonts w:ascii="Arial" w:hAnsi="Arial" w:cs="Arial"/>
          <w:i/>
          <w:iCs/>
        </w:rPr>
        <w:t>Minersville School District v. Gobitis (1940)</w:t>
      </w:r>
    </w:p>
    <w:p w14:paraId="2E3E00B3" w14:textId="73647BCC" w:rsidR="00ED4189" w:rsidRPr="00ED4189" w:rsidRDefault="00ED4189" w:rsidP="00ED4189">
      <w:pPr>
        <w:pStyle w:val="ListParagraph"/>
        <w:numPr>
          <w:ilvl w:val="3"/>
          <w:numId w:val="1"/>
        </w:numPr>
        <w:rPr>
          <w:rFonts w:ascii="Arial" w:hAnsi="Arial" w:cs="Arial"/>
        </w:rPr>
      </w:pPr>
      <w:r>
        <w:rPr>
          <w:rFonts w:ascii="Arial" w:hAnsi="Arial" w:cs="Arial"/>
        </w:rPr>
        <w:t>T</w:t>
      </w:r>
      <w:r w:rsidRPr="00ED4189">
        <w:rPr>
          <w:rFonts w:ascii="Arial" w:hAnsi="Arial" w:cs="Arial"/>
        </w:rPr>
        <w:t>he Court upheld flag salute regulations against claims that the school system was violating the children’s right to free exercise of religion</w:t>
      </w:r>
      <w:r>
        <w:rPr>
          <w:rFonts w:ascii="Arial" w:hAnsi="Arial" w:cs="Arial"/>
        </w:rPr>
        <w:t>.</w:t>
      </w:r>
    </w:p>
    <w:p w14:paraId="6FAF6145" w14:textId="2753D230" w:rsidR="00CA6731" w:rsidRDefault="00CA6731" w:rsidP="00CA6731">
      <w:pPr>
        <w:pStyle w:val="ListParagraph"/>
        <w:numPr>
          <w:ilvl w:val="2"/>
          <w:numId w:val="1"/>
        </w:numPr>
        <w:rPr>
          <w:rFonts w:ascii="Arial" w:hAnsi="Arial" w:cs="Arial"/>
          <w:i/>
          <w:iCs/>
        </w:rPr>
      </w:pPr>
      <w:r w:rsidRPr="00CA6731">
        <w:rPr>
          <w:rFonts w:ascii="Arial" w:hAnsi="Arial" w:cs="Arial"/>
          <w:i/>
          <w:iCs/>
        </w:rPr>
        <w:t>West Virginia State Board of Education v. Barnette</w:t>
      </w:r>
      <w:r>
        <w:rPr>
          <w:rFonts w:ascii="Arial" w:hAnsi="Arial" w:cs="Arial"/>
          <w:i/>
          <w:iCs/>
        </w:rPr>
        <w:t xml:space="preserve"> (1943)</w:t>
      </w:r>
    </w:p>
    <w:p w14:paraId="4CE2761A" w14:textId="10C08055" w:rsidR="00ED4189" w:rsidRDefault="00ED4189" w:rsidP="00ED4189">
      <w:pPr>
        <w:pStyle w:val="ListParagraph"/>
        <w:numPr>
          <w:ilvl w:val="3"/>
          <w:numId w:val="1"/>
        </w:numPr>
        <w:rPr>
          <w:rFonts w:ascii="Arial" w:hAnsi="Arial" w:cs="Arial"/>
        </w:rPr>
      </w:pPr>
      <w:r>
        <w:rPr>
          <w:rFonts w:ascii="Arial" w:hAnsi="Arial" w:cs="Arial"/>
        </w:rPr>
        <w:t>T</w:t>
      </w:r>
      <w:r w:rsidRPr="00ED4189">
        <w:rPr>
          <w:rFonts w:ascii="Arial" w:hAnsi="Arial" w:cs="Arial"/>
        </w:rPr>
        <w:t>he Court again considered a challenge to the constitutionality of the compulsory flag salute laws brought by Jehovah’s Witnesses.</w:t>
      </w:r>
    </w:p>
    <w:p w14:paraId="030C3D29" w14:textId="05C2F8EE" w:rsidR="00ED4189" w:rsidRDefault="00ED4189" w:rsidP="00ED4189">
      <w:pPr>
        <w:pStyle w:val="ListParagraph"/>
        <w:numPr>
          <w:ilvl w:val="3"/>
          <w:numId w:val="1"/>
        </w:numPr>
        <w:rPr>
          <w:rFonts w:ascii="Arial" w:hAnsi="Arial" w:cs="Arial"/>
        </w:rPr>
      </w:pPr>
      <w:r>
        <w:rPr>
          <w:rFonts w:ascii="Arial" w:hAnsi="Arial" w:cs="Arial"/>
        </w:rPr>
        <w:t>Public opinion had calmed</w:t>
      </w:r>
      <w:r w:rsidR="00CB5747">
        <w:rPr>
          <w:rFonts w:ascii="Arial" w:hAnsi="Arial" w:cs="Arial"/>
        </w:rPr>
        <w:t>,</w:t>
      </w:r>
      <w:r>
        <w:rPr>
          <w:rFonts w:ascii="Arial" w:hAnsi="Arial" w:cs="Arial"/>
        </w:rPr>
        <w:t xml:space="preserve"> </w:t>
      </w:r>
      <w:r w:rsidR="00CB5747">
        <w:rPr>
          <w:rFonts w:ascii="Arial" w:hAnsi="Arial" w:cs="Arial"/>
        </w:rPr>
        <w:t xml:space="preserve">the Court’s libertarian wing had strengthened, and the </w:t>
      </w:r>
      <w:r w:rsidR="00CB5747" w:rsidRPr="00CB5747">
        <w:rPr>
          <w:rFonts w:ascii="Arial" w:hAnsi="Arial" w:cs="Arial"/>
          <w:i/>
          <w:iCs/>
        </w:rPr>
        <w:t>Gobitis</w:t>
      </w:r>
      <w:r w:rsidR="00CB5747">
        <w:rPr>
          <w:rFonts w:ascii="Arial" w:hAnsi="Arial" w:cs="Arial"/>
        </w:rPr>
        <w:t xml:space="preserve"> decision had been criticized in legal circles.</w:t>
      </w:r>
    </w:p>
    <w:p w14:paraId="294FE344" w14:textId="6C1C7F47" w:rsidR="00CB5747" w:rsidRDefault="00CB5747" w:rsidP="00ED4189">
      <w:pPr>
        <w:pStyle w:val="ListParagraph"/>
        <w:numPr>
          <w:ilvl w:val="3"/>
          <w:numId w:val="1"/>
        </w:numPr>
        <w:rPr>
          <w:rFonts w:ascii="Arial" w:hAnsi="Arial" w:cs="Arial"/>
        </w:rPr>
      </w:pPr>
      <w:r w:rsidRPr="00CB5747">
        <w:rPr>
          <w:rFonts w:ascii="Arial" w:hAnsi="Arial" w:cs="Arial"/>
        </w:rPr>
        <w:t>Lawyers for the Witnesses decided to base the attack primarily on the freedom of speech rather than on religious liberty</w:t>
      </w:r>
      <w:r>
        <w:rPr>
          <w:rFonts w:ascii="Arial" w:hAnsi="Arial" w:cs="Arial"/>
        </w:rPr>
        <w:t>.</w:t>
      </w:r>
    </w:p>
    <w:p w14:paraId="0817E8FE" w14:textId="409476EB" w:rsidR="00CB5747" w:rsidRPr="00ED4189" w:rsidRDefault="00CB5747" w:rsidP="00ED4189">
      <w:pPr>
        <w:pStyle w:val="ListParagraph"/>
        <w:numPr>
          <w:ilvl w:val="3"/>
          <w:numId w:val="1"/>
        </w:numPr>
        <w:rPr>
          <w:rFonts w:ascii="Arial" w:hAnsi="Arial" w:cs="Arial"/>
        </w:rPr>
      </w:pPr>
      <w:r>
        <w:rPr>
          <w:rFonts w:ascii="Arial" w:hAnsi="Arial" w:cs="Arial"/>
        </w:rPr>
        <w:t>T</w:t>
      </w:r>
      <w:r w:rsidRPr="00CB5747">
        <w:rPr>
          <w:rFonts w:ascii="Arial" w:hAnsi="Arial" w:cs="Arial"/>
        </w:rPr>
        <w:t>he Court ruled that the individual has at least a qualified right to be free of government coercion to express views he or she disavows.</w:t>
      </w:r>
    </w:p>
    <w:p w14:paraId="2F582F66" w14:textId="57B1E456"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Wooley v. Maynard (1977)</w:t>
      </w:r>
    </w:p>
    <w:p w14:paraId="5927DD3C" w14:textId="326F7C13" w:rsidR="00CB5747" w:rsidRDefault="00CB5747" w:rsidP="00CB5747">
      <w:pPr>
        <w:pStyle w:val="ListParagraph"/>
        <w:numPr>
          <w:ilvl w:val="3"/>
          <w:numId w:val="1"/>
        </w:numPr>
        <w:rPr>
          <w:rFonts w:ascii="Arial" w:hAnsi="Arial" w:cs="Arial"/>
        </w:rPr>
      </w:pPr>
      <w:r w:rsidRPr="00CB5747">
        <w:rPr>
          <w:rFonts w:ascii="Arial" w:hAnsi="Arial" w:cs="Arial"/>
        </w:rPr>
        <w:t>New Hampshire’s license</w:t>
      </w:r>
      <w:r>
        <w:rPr>
          <w:rFonts w:ascii="Arial" w:hAnsi="Arial" w:cs="Arial"/>
        </w:rPr>
        <w:t xml:space="preserve"> plates</w:t>
      </w:r>
      <w:r w:rsidRPr="00CB5747">
        <w:rPr>
          <w:rFonts w:ascii="Arial" w:hAnsi="Arial" w:cs="Arial"/>
        </w:rPr>
        <w:t xml:space="preserve"> are embossed with the state slogan, “Live Free or Die,” a message that George Maynard, a Jehovah’s Witness, regarded as inconsistent with his personal beliefs.</w:t>
      </w:r>
    </w:p>
    <w:p w14:paraId="38A530B6" w14:textId="42D83BB0" w:rsidR="00CB5747" w:rsidRDefault="00CB5747" w:rsidP="00CB5747">
      <w:pPr>
        <w:pStyle w:val="ListParagraph"/>
        <w:numPr>
          <w:ilvl w:val="3"/>
          <w:numId w:val="1"/>
        </w:numPr>
        <w:rPr>
          <w:rFonts w:ascii="Arial" w:hAnsi="Arial" w:cs="Arial"/>
        </w:rPr>
      </w:pPr>
      <w:r w:rsidRPr="00CB5747">
        <w:rPr>
          <w:rFonts w:ascii="Arial" w:hAnsi="Arial" w:cs="Arial"/>
        </w:rPr>
        <w:t xml:space="preserve">After he was fined for obscuring </w:t>
      </w:r>
      <w:r>
        <w:rPr>
          <w:rFonts w:ascii="Arial" w:hAnsi="Arial" w:cs="Arial"/>
        </w:rPr>
        <w:t>the</w:t>
      </w:r>
      <w:r w:rsidRPr="00CB5747">
        <w:rPr>
          <w:rFonts w:ascii="Arial" w:hAnsi="Arial" w:cs="Arial"/>
        </w:rPr>
        <w:t xml:space="preserve"> motto with tape, he alleged that New Hampshire was forcing him to carry a message he saw as objectionable.</w:t>
      </w:r>
    </w:p>
    <w:p w14:paraId="0DACB98C" w14:textId="4C8CEB70" w:rsidR="00CB5747" w:rsidRPr="00CB5747" w:rsidRDefault="00CB5747" w:rsidP="00CB5747">
      <w:pPr>
        <w:pStyle w:val="ListParagraph"/>
        <w:numPr>
          <w:ilvl w:val="3"/>
          <w:numId w:val="1"/>
        </w:numPr>
        <w:rPr>
          <w:rFonts w:ascii="Arial" w:hAnsi="Arial" w:cs="Arial"/>
        </w:rPr>
      </w:pPr>
      <w:r>
        <w:rPr>
          <w:rFonts w:ascii="Arial" w:hAnsi="Arial" w:cs="Arial"/>
        </w:rPr>
        <w:t>The Court found in favor of Maynard.</w:t>
      </w:r>
    </w:p>
    <w:p w14:paraId="19456B86" w14:textId="087851B5" w:rsidR="00CA6731" w:rsidRDefault="00CA6731" w:rsidP="00CA6731">
      <w:pPr>
        <w:pStyle w:val="ListParagraph"/>
        <w:numPr>
          <w:ilvl w:val="2"/>
          <w:numId w:val="1"/>
        </w:numPr>
        <w:rPr>
          <w:rFonts w:ascii="Arial" w:hAnsi="Arial" w:cs="Arial"/>
          <w:i/>
          <w:iCs/>
        </w:rPr>
      </w:pPr>
      <w:r w:rsidRPr="00CA6731">
        <w:rPr>
          <w:rFonts w:ascii="Arial" w:hAnsi="Arial" w:cs="Arial"/>
          <w:i/>
          <w:iCs/>
        </w:rPr>
        <w:t>303 Creative LLC v. Elenis (2003)</w:t>
      </w:r>
    </w:p>
    <w:p w14:paraId="5C6E2E91" w14:textId="04F00FDF" w:rsidR="00CB5747" w:rsidRDefault="00CB5747" w:rsidP="00CB5747">
      <w:pPr>
        <w:pStyle w:val="ListParagraph"/>
        <w:numPr>
          <w:ilvl w:val="3"/>
          <w:numId w:val="1"/>
        </w:numPr>
        <w:rPr>
          <w:rFonts w:ascii="Arial" w:hAnsi="Arial" w:cs="Arial"/>
        </w:rPr>
      </w:pPr>
      <w:r>
        <w:rPr>
          <w:rFonts w:ascii="Arial" w:hAnsi="Arial" w:cs="Arial"/>
        </w:rPr>
        <w:t>T</w:t>
      </w:r>
      <w:r w:rsidRPr="00CB5747">
        <w:rPr>
          <w:rFonts w:ascii="Arial" w:hAnsi="Arial" w:cs="Arial"/>
        </w:rPr>
        <w:t>he Court’s six most conservative justices held that the state of Colorado violated the First Amendment by “forcing” a website designer to create sites with messages with which she disagreed.</w:t>
      </w:r>
    </w:p>
    <w:p w14:paraId="646943E8" w14:textId="7AA63DCD" w:rsidR="00CB5747" w:rsidRPr="00CB5747" w:rsidRDefault="00CB5747" w:rsidP="00CB5747">
      <w:pPr>
        <w:pStyle w:val="ListParagraph"/>
        <w:numPr>
          <w:ilvl w:val="3"/>
          <w:numId w:val="1"/>
        </w:numPr>
        <w:rPr>
          <w:rFonts w:ascii="Arial" w:hAnsi="Arial" w:cs="Arial"/>
        </w:rPr>
      </w:pPr>
      <w:r w:rsidRPr="00CB5747">
        <w:rPr>
          <w:rFonts w:ascii="Arial" w:hAnsi="Arial" w:cs="Arial"/>
        </w:rPr>
        <w:t>The more liberal justice</w:t>
      </w:r>
      <w:r>
        <w:rPr>
          <w:rFonts w:ascii="Arial" w:hAnsi="Arial" w:cs="Arial"/>
        </w:rPr>
        <w:t>s</w:t>
      </w:r>
      <w:r w:rsidRPr="00CB5747">
        <w:rPr>
          <w:rFonts w:ascii="Arial" w:hAnsi="Arial" w:cs="Arial"/>
        </w:rPr>
        <w:t xml:space="preserve"> dissented, arguing that the government did not compel speech but rather had enacted a neutral regulation of commercial conduct</w:t>
      </w:r>
      <w:r>
        <w:rPr>
          <w:rFonts w:ascii="Arial" w:hAnsi="Arial" w:cs="Arial"/>
        </w:rPr>
        <w:t>.</w:t>
      </w:r>
    </w:p>
    <w:p w14:paraId="212C6119" w14:textId="61E806C9" w:rsidR="00256313" w:rsidRDefault="00256313" w:rsidP="00256313">
      <w:pPr>
        <w:pStyle w:val="ListParagraph"/>
        <w:numPr>
          <w:ilvl w:val="0"/>
          <w:numId w:val="1"/>
        </w:numPr>
        <w:rPr>
          <w:rFonts w:ascii="Arial" w:hAnsi="Arial" w:cs="Arial"/>
        </w:rPr>
      </w:pPr>
      <w:r w:rsidRPr="00256313">
        <w:rPr>
          <w:rFonts w:ascii="Arial" w:hAnsi="Arial" w:cs="Arial"/>
        </w:rPr>
        <w:t>Does the Expression Fall into an Unprotected Category?</w:t>
      </w:r>
    </w:p>
    <w:p w14:paraId="5930253D" w14:textId="008F6FD0" w:rsidR="00256313" w:rsidRDefault="00256313" w:rsidP="00256313">
      <w:pPr>
        <w:pStyle w:val="ListParagraph"/>
        <w:numPr>
          <w:ilvl w:val="1"/>
          <w:numId w:val="1"/>
        </w:numPr>
        <w:rPr>
          <w:rFonts w:ascii="Arial" w:hAnsi="Arial" w:cs="Arial"/>
        </w:rPr>
      </w:pPr>
      <w:r w:rsidRPr="00256313">
        <w:rPr>
          <w:rFonts w:ascii="Arial" w:hAnsi="Arial" w:cs="Arial"/>
        </w:rPr>
        <w:t>“True Threats”</w:t>
      </w:r>
    </w:p>
    <w:p w14:paraId="53892929" w14:textId="6A10C2ED" w:rsidR="00CB5747" w:rsidRDefault="00CB5747" w:rsidP="00CB5747">
      <w:pPr>
        <w:pStyle w:val="ListParagraph"/>
        <w:numPr>
          <w:ilvl w:val="2"/>
          <w:numId w:val="1"/>
        </w:numPr>
        <w:rPr>
          <w:rFonts w:ascii="Arial" w:hAnsi="Arial" w:cs="Arial"/>
        </w:rPr>
      </w:pPr>
      <w:r>
        <w:rPr>
          <w:rFonts w:ascii="Arial" w:hAnsi="Arial" w:cs="Arial"/>
        </w:rPr>
        <w:t>A</w:t>
      </w:r>
      <w:r w:rsidRPr="00CB5747">
        <w:rPr>
          <w:rFonts w:ascii="Arial" w:hAnsi="Arial" w:cs="Arial"/>
        </w:rPr>
        <w:t xml:space="preserve">ccording to the Court, </w:t>
      </w:r>
      <w:r>
        <w:rPr>
          <w:rFonts w:ascii="Arial" w:hAnsi="Arial" w:cs="Arial"/>
        </w:rPr>
        <w:t>true threats</w:t>
      </w:r>
      <w:r w:rsidRPr="00CB5747">
        <w:rPr>
          <w:rFonts w:ascii="Arial" w:hAnsi="Arial" w:cs="Arial"/>
        </w:rPr>
        <w:t xml:space="preserve"> occur when the speaker “means to communicate a serious expression of an intent to commit an act of unlawful violence to a particular individual or group of individuals.”</w:t>
      </w:r>
    </w:p>
    <w:p w14:paraId="75A952F4" w14:textId="3E6E8EC6" w:rsidR="00CB5747" w:rsidRDefault="00CB5747" w:rsidP="00CB5747">
      <w:pPr>
        <w:pStyle w:val="ListParagraph"/>
        <w:numPr>
          <w:ilvl w:val="3"/>
          <w:numId w:val="1"/>
        </w:numPr>
        <w:rPr>
          <w:rFonts w:ascii="Arial" w:hAnsi="Arial" w:cs="Arial"/>
        </w:rPr>
      </w:pPr>
      <w:r>
        <w:rPr>
          <w:rFonts w:ascii="Arial" w:hAnsi="Arial" w:cs="Arial"/>
        </w:rPr>
        <w:t xml:space="preserve">The government </w:t>
      </w:r>
      <w:r w:rsidRPr="00CB5747">
        <w:rPr>
          <w:rFonts w:ascii="Arial" w:hAnsi="Arial" w:cs="Arial"/>
        </w:rPr>
        <w:t>must prove that the speaker intended to place the “victim in fear of bodily harm or death.”</w:t>
      </w:r>
    </w:p>
    <w:p w14:paraId="64775E93" w14:textId="109861B1"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Virginia v. Black (2003)</w:t>
      </w:r>
    </w:p>
    <w:p w14:paraId="5D68D879" w14:textId="785BA7DF" w:rsidR="00CB5747" w:rsidRDefault="00CB5747" w:rsidP="00CB5747">
      <w:pPr>
        <w:pStyle w:val="ListParagraph"/>
        <w:numPr>
          <w:ilvl w:val="3"/>
          <w:numId w:val="1"/>
        </w:numPr>
        <w:rPr>
          <w:rFonts w:ascii="Arial" w:hAnsi="Arial" w:cs="Arial"/>
        </w:rPr>
      </w:pPr>
      <w:r w:rsidRPr="00CB5747">
        <w:rPr>
          <w:rFonts w:ascii="Arial" w:hAnsi="Arial" w:cs="Arial"/>
        </w:rPr>
        <w:t>A Virginia law treated all cross burnings as “true threats.”</w:t>
      </w:r>
    </w:p>
    <w:p w14:paraId="12D765EA" w14:textId="2B395259" w:rsidR="00CB5747" w:rsidRDefault="00CB5747" w:rsidP="00CB5747">
      <w:pPr>
        <w:pStyle w:val="ListParagraph"/>
        <w:numPr>
          <w:ilvl w:val="3"/>
          <w:numId w:val="1"/>
        </w:numPr>
        <w:rPr>
          <w:rFonts w:ascii="Arial" w:hAnsi="Arial" w:cs="Arial"/>
        </w:rPr>
      </w:pPr>
      <w:r w:rsidRPr="00CB5747">
        <w:rPr>
          <w:rFonts w:ascii="Arial" w:hAnsi="Arial" w:cs="Arial"/>
        </w:rPr>
        <w:t>To determine the Virginia law’s constitutionality, the Court combined two cases.</w:t>
      </w:r>
    </w:p>
    <w:p w14:paraId="44651120" w14:textId="35175509" w:rsidR="00CB5747" w:rsidRDefault="000029C3" w:rsidP="000029C3">
      <w:pPr>
        <w:pStyle w:val="ListParagraph"/>
        <w:numPr>
          <w:ilvl w:val="3"/>
          <w:numId w:val="1"/>
        </w:numPr>
        <w:rPr>
          <w:rFonts w:ascii="Arial" w:hAnsi="Arial" w:cs="Arial"/>
        </w:rPr>
      </w:pPr>
      <w:r w:rsidRPr="000029C3">
        <w:rPr>
          <w:rFonts w:ascii="Arial" w:hAnsi="Arial" w:cs="Arial"/>
        </w:rPr>
        <w:t>In the first, Barry Black led a Ku Klux Klan rally in Carroll County, Virginia.</w:t>
      </w:r>
    </w:p>
    <w:p w14:paraId="2053F0B6" w14:textId="6AF14404" w:rsidR="000029C3" w:rsidRDefault="000029C3" w:rsidP="000029C3">
      <w:pPr>
        <w:pStyle w:val="ListParagraph"/>
        <w:numPr>
          <w:ilvl w:val="4"/>
          <w:numId w:val="1"/>
        </w:numPr>
        <w:rPr>
          <w:rFonts w:ascii="Arial" w:hAnsi="Arial" w:cs="Arial"/>
        </w:rPr>
      </w:pPr>
      <w:r w:rsidRPr="000029C3">
        <w:rPr>
          <w:rFonts w:ascii="Arial" w:hAnsi="Arial" w:cs="Arial"/>
        </w:rPr>
        <w:t>At the end of the rally, a thirty-foot cross was burned while the attendees played “Amazing Grace” over a loudspeaker.</w:t>
      </w:r>
    </w:p>
    <w:p w14:paraId="091AF18C" w14:textId="5ADCA3FB" w:rsidR="000029C3" w:rsidRDefault="000029C3" w:rsidP="000029C3">
      <w:pPr>
        <w:pStyle w:val="ListParagraph"/>
        <w:numPr>
          <w:ilvl w:val="4"/>
          <w:numId w:val="1"/>
        </w:numPr>
        <w:rPr>
          <w:rFonts w:ascii="Arial" w:hAnsi="Arial" w:cs="Arial"/>
        </w:rPr>
      </w:pPr>
      <w:r>
        <w:rPr>
          <w:rFonts w:ascii="Arial" w:hAnsi="Arial" w:cs="Arial"/>
        </w:rPr>
        <w:t>A</w:t>
      </w:r>
      <w:r w:rsidRPr="000029C3">
        <w:rPr>
          <w:rFonts w:ascii="Arial" w:hAnsi="Arial" w:cs="Arial"/>
        </w:rPr>
        <w:t xml:space="preserve"> sheriff, who had been watching the rally from the highway, drove to the gathering and arrested Black for violating the Virginia cross-burning law.</w:t>
      </w:r>
    </w:p>
    <w:p w14:paraId="5F6B2181" w14:textId="2B9A7AD6" w:rsidR="000029C3" w:rsidRDefault="000029C3" w:rsidP="000029C3">
      <w:pPr>
        <w:pStyle w:val="ListParagraph"/>
        <w:numPr>
          <w:ilvl w:val="3"/>
          <w:numId w:val="1"/>
        </w:numPr>
        <w:rPr>
          <w:rFonts w:ascii="Arial" w:hAnsi="Arial" w:cs="Arial"/>
        </w:rPr>
      </w:pPr>
      <w:r w:rsidRPr="000029C3">
        <w:rPr>
          <w:rFonts w:ascii="Arial" w:hAnsi="Arial" w:cs="Arial"/>
        </w:rPr>
        <w:t>In the second case, Richard Elliott and several others planted a cross and set it on fire in the yard of James Jubilee, a Black man.</w:t>
      </w:r>
    </w:p>
    <w:p w14:paraId="624D5353" w14:textId="77525E18" w:rsidR="000029C3" w:rsidRDefault="000029C3" w:rsidP="000029C3">
      <w:pPr>
        <w:pStyle w:val="ListParagraph"/>
        <w:numPr>
          <w:ilvl w:val="4"/>
          <w:numId w:val="1"/>
        </w:numPr>
        <w:rPr>
          <w:rFonts w:ascii="Arial" w:hAnsi="Arial" w:cs="Arial"/>
        </w:rPr>
      </w:pPr>
      <w:r w:rsidRPr="000029C3">
        <w:rPr>
          <w:rFonts w:ascii="Arial" w:hAnsi="Arial" w:cs="Arial"/>
        </w:rPr>
        <w:t>After seeing the cross, Jubilee was “very nervous” because he “didn’t know what would be the next phase</w:t>
      </w:r>
      <w:r>
        <w:rPr>
          <w:rFonts w:ascii="Arial" w:hAnsi="Arial" w:cs="Arial"/>
        </w:rPr>
        <w:t>. . . .”</w:t>
      </w:r>
    </w:p>
    <w:p w14:paraId="53A861F4" w14:textId="04483CB3" w:rsidR="000029C3" w:rsidRDefault="000029C3" w:rsidP="000029C3">
      <w:pPr>
        <w:pStyle w:val="ListParagraph"/>
        <w:numPr>
          <w:ilvl w:val="4"/>
          <w:numId w:val="1"/>
        </w:numPr>
        <w:rPr>
          <w:rFonts w:ascii="Arial" w:hAnsi="Arial" w:cs="Arial"/>
        </w:rPr>
      </w:pPr>
      <w:r w:rsidRPr="000029C3">
        <w:rPr>
          <w:rFonts w:ascii="Arial" w:hAnsi="Arial" w:cs="Arial"/>
        </w:rPr>
        <w:t>Elliot was charged with violating the Virginia law.</w:t>
      </w:r>
    </w:p>
    <w:p w14:paraId="05721129" w14:textId="3459F7AE" w:rsidR="000029C3" w:rsidRDefault="000029C3" w:rsidP="000029C3">
      <w:pPr>
        <w:pStyle w:val="ListParagraph"/>
        <w:numPr>
          <w:ilvl w:val="3"/>
          <w:numId w:val="1"/>
        </w:numPr>
        <w:rPr>
          <w:rFonts w:ascii="Arial" w:hAnsi="Arial" w:cs="Arial"/>
        </w:rPr>
      </w:pPr>
      <w:r w:rsidRPr="000029C3">
        <w:rPr>
          <w:rFonts w:ascii="Arial" w:hAnsi="Arial" w:cs="Arial"/>
        </w:rPr>
        <w:t xml:space="preserve">According to the Court, </w:t>
      </w:r>
      <w:r>
        <w:rPr>
          <w:rFonts w:ascii="Arial" w:hAnsi="Arial" w:cs="Arial"/>
        </w:rPr>
        <w:t>whether burning a cross constitutes a true threat</w:t>
      </w:r>
      <w:r w:rsidRPr="000029C3">
        <w:rPr>
          <w:rFonts w:ascii="Arial" w:hAnsi="Arial" w:cs="Arial"/>
        </w:rPr>
        <w:t xml:space="preserve"> depends on the burners’ intent.</w:t>
      </w:r>
    </w:p>
    <w:p w14:paraId="0D08BBCA" w14:textId="114BE35D" w:rsidR="000029C3" w:rsidRDefault="000029C3" w:rsidP="000029C3">
      <w:pPr>
        <w:pStyle w:val="ListParagraph"/>
        <w:numPr>
          <w:ilvl w:val="4"/>
          <w:numId w:val="1"/>
        </w:numPr>
        <w:rPr>
          <w:rFonts w:ascii="Arial" w:hAnsi="Arial" w:cs="Arial"/>
        </w:rPr>
      </w:pPr>
      <w:r w:rsidRPr="000029C3">
        <w:rPr>
          <w:rFonts w:ascii="Arial" w:hAnsi="Arial" w:cs="Arial"/>
        </w:rPr>
        <w:t>On this logic, the Court ruled in Black’s favor.</w:t>
      </w:r>
    </w:p>
    <w:p w14:paraId="4D278724" w14:textId="77777777" w:rsidR="000029C3" w:rsidRDefault="000029C3" w:rsidP="000029C3">
      <w:pPr>
        <w:pStyle w:val="ListParagraph"/>
        <w:numPr>
          <w:ilvl w:val="4"/>
          <w:numId w:val="1"/>
        </w:numPr>
        <w:rPr>
          <w:rFonts w:ascii="Arial" w:hAnsi="Arial" w:cs="Arial"/>
        </w:rPr>
      </w:pPr>
      <w:r w:rsidRPr="000029C3">
        <w:rPr>
          <w:rFonts w:ascii="Arial" w:hAnsi="Arial" w:cs="Arial"/>
        </w:rPr>
        <w:t>As for Elliot, his case was returned to the lower court to determine whether his cross-burning met the criteria of a true threat.</w:t>
      </w:r>
    </w:p>
    <w:p w14:paraId="6047CEC7" w14:textId="1F48F68F" w:rsidR="000029C3" w:rsidRPr="00CB5747" w:rsidRDefault="000029C3" w:rsidP="000029C3">
      <w:pPr>
        <w:pStyle w:val="ListParagraph"/>
        <w:numPr>
          <w:ilvl w:val="4"/>
          <w:numId w:val="1"/>
        </w:numPr>
        <w:rPr>
          <w:rFonts w:ascii="Arial" w:hAnsi="Arial" w:cs="Arial"/>
        </w:rPr>
      </w:pPr>
      <w:r w:rsidRPr="000029C3">
        <w:rPr>
          <w:rFonts w:ascii="Arial" w:hAnsi="Arial" w:cs="Arial"/>
        </w:rPr>
        <w:t>The Supreme Court of Virginia upheld Elliot’s conviction.</w:t>
      </w:r>
    </w:p>
    <w:p w14:paraId="6060D113" w14:textId="3CB08D6B" w:rsidR="00256313" w:rsidRDefault="00256313" w:rsidP="00256313">
      <w:pPr>
        <w:pStyle w:val="ListParagraph"/>
        <w:numPr>
          <w:ilvl w:val="1"/>
          <w:numId w:val="1"/>
        </w:numPr>
        <w:rPr>
          <w:rFonts w:ascii="Arial" w:hAnsi="Arial" w:cs="Arial"/>
        </w:rPr>
      </w:pPr>
      <w:r w:rsidRPr="00256313">
        <w:rPr>
          <w:rFonts w:ascii="Arial" w:hAnsi="Arial" w:cs="Arial"/>
        </w:rPr>
        <w:t>Speech That Provokes Listeners into Lawlessness</w:t>
      </w:r>
    </w:p>
    <w:p w14:paraId="6475EB6C" w14:textId="6478D384" w:rsidR="00256313" w:rsidRDefault="00256313" w:rsidP="00256313">
      <w:pPr>
        <w:pStyle w:val="ListParagraph"/>
        <w:numPr>
          <w:ilvl w:val="2"/>
          <w:numId w:val="1"/>
        </w:numPr>
        <w:rPr>
          <w:rFonts w:ascii="Arial" w:hAnsi="Arial" w:cs="Arial"/>
        </w:rPr>
      </w:pPr>
      <w:r w:rsidRPr="00256313">
        <w:rPr>
          <w:rFonts w:ascii="Arial" w:hAnsi="Arial" w:cs="Arial"/>
        </w:rPr>
        <w:t>Hostile Audience</w:t>
      </w:r>
    </w:p>
    <w:p w14:paraId="6A473BE7" w14:textId="3F4AC20B" w:rsidR="00CA6731" w:rsidRDefault="00CA6731" w:rsidP="00CA6731">
      <w:pPr>
        <w:pStyle w:val="ListParagraph"/>
        <w:numPr>
          <w:ilvl w:val="3"/>
          <w:numId w:val="1"/>
        </w:numPr>
        <w:rPr>
          <w:rFonts w:ascii="Arial" w:hAnsi="Arial" w:cs="Arial"/>
          <w:i/>
          <w:iCs/>
        </w:rPr>
      </w:pPr>
      <w:r w:rsidRPr="00CA6731">
        <w:rPr>
          <w:rFonts w:ascii="Arial" w:hAnsi="Arial" w:cs="Arial"/>
          <w:i/>
          <w:iCs/>
        </w:rPr>
        <w:t>Terminiello v. Chicago (1949)</w:t>
      </w:r>
    </w:p>
    <w:p w14:paraId="08AEE433" w14:textId="31F707F2" w:rsidR="000029C3" w:rsidRDefault="000029C3" w:rsidP="000029C3">
      <w:pPr>
        <w:pStyle w:val="ListParagraph"/>
        <w:numPr>
          <w:ilvl w:val="4"/>
          <w:numId w:val="1"/>
        </w:numPr>
        <w:rPr>
          <w:rFonts w:ascii="Arial" w:hAnsi="Arial" w:cs="Arial"/>
        </w:rPr>
      </w:pPr>
      <w:r>
        <w:rPr>
          <w:rFonts w:ascii="Arial" w:hAnsi="Arial" w:cs="Arial"/>
        </w:rPr>
        <w:t>A</w:t>
      </w:r>
      <w:r w:rsidRPr="000029C3">
        <w:rPr>
          <w:rFonts w:ascii="Arial" w:hAnsi="Arial" w:cs="Arial"/>
        </w:rPr>
        <w:t xml:space="preserve"> suspended Catholic priest, Father Arthur Terminiello, addressed a substantial crowd inside a Chicago auditorium</w:t>
      </w:r>
      <w:r>
        <w:rPr>
          <w:rFonts w:ascii="Arial" w:hAnsi="Arial" w:cs="Arial"/>
        </w:rPr>
        <w:t>.</w:t>
      </w:r>
    </w:p>
    <w:p w14:paraId="3CAA5C26" w14:textId="77777777" w:rsidR="000029C3" w:rsidRDefault="000029C3" w:rsidP="000029C3">
      <w:pPr>
        <w:pStyle w:val="ListParagraph"/>
        <w:numPr>
          <w:ilvl w:val="4"/>
          <w:numId w:val="1"/>
        </w:numPr>
        <w:rPr>
          <w:rFonts w:ascii="Arial" w:hAnsi="Arial" w:cs="Arial"/>
        </w:rPr>
      </w:pPr>
      <w:r w:rsidRPr="000029C3">
        <w:rPr>
          <w:rFonts w:ascii="Arial" w:hAnsi="Arial" w:cs="Arial"/>
        </w:rPr>
        <w:t>Terminiello launched into a tirade directed against Communism and Jews.</w:t>
      </w:r>
    </w:p>
    <w:p w14:paraId="263E88B4" w14:textId="184F7E3B" w:rsidR="000029C3" w:rsidRDefault="000029C3" w:rsidP="000029C3">
      <w:pPr>
        <w:pStyle w:val="ListParagraph"/>
        <w:numPr>
          <w:ilvl w:val="4"/>
          <w:numId w:val="1"/>
        </w:numPr>
        <w:rPr>
          <w:rFonts w:ascii="Arial" w:hAnsi="Arial" w:cs="Arial"/>
        </w:rPr>
      </w:pPr>
      <w:r w:rsidRPr="000029C3">
        <w:rPr>
          <w:rFonts w:ascii="Arial" w:hAnsi="Arial" w:cs="Arial"/>
        </w:rPr>
        <w:t>Outside the auditorium, an even larger and angry crowd had gathered in opposition to Terminiello.</w:t>
      </w:r>
    </w:p>
    <w:p w14:paraId="110DAA24" w14:textId="658B6964" w:rsidR="000029C3" w:rsidRDefault="000029C3" w:rsidP="000029C3">
      <w:pPr>
        <w:pStyle w:val="ListParagraph"/>
        <w:numPr>
          <w:ilvl w:val="4"/>
          <w:numId w:val="1"/>
        </w:numPr>
        <w:rPr>
          <w:rFonts w:ascii="Arial" w:hAnsi="Arial" w:cs="Arial"/>
        </w:rPr>
      </w:pPr>
      <w:r w:rsidRPr="000029C3">
        <w:rPr>
          <w:rFonts w:ascii="Arial" w:hAnsi="Arial" w:cs="Arial"/>
        </w:rPr>
        <w:t>The crowd grew unruly, throwing bricks and bottles at the building and breaking several of the auditorium’s windows.</w:t>
      </w:r>
    </w:p>
    <w:p w14:paraId="16A05342" w14:textId="0FE16591" w:rsidR="000029C3" w:rsidRDefault="000029C3" w:rsidP="000029C3">
      <w:pPr>
        <w:pStyle w:val="ListParagraph"/>
        <w:numPr>
          <w:ilvl w:val="4"/>
          <w:numId w:val="1"/>
        </w:numPr>
        <w:rPr>
          <w:rFonts w:ascii="Arial" w:hAnsi="Arial" w:cs="Arial"/>
        </w:rPr>
      </w:pPr>
      <w:r w:rsidRPr="000029C3">
        <w:rPr>
          <w:rFonts w:ascii="Arial" w:hAnsi="Arial" w:cs="Arial"/>
        </w:rPr>
        <w:t>Terminiello was convicted of “breach of the peace,” defined by a city ordinance as action that “stirs the public to anger, invites dispute, brings about a condition of unrest, or creates a disturbance.”</w:t>
      </w:r>
    </w:p>
    <w:p w14:paraId="4C794807" w14:textId="1F4FEAAE" w:rsidR="000029C3" w:rsidRPr="000029C3" w:rsidRDefault="000029C3" w:rsidP="000029C3">
      <w:pPr>
        <w:pStyle w:val="ListParagraph"/>
        <w:numPr>
          <w:ilvl w:val="4"/>
          <w:numId w:val="1"/>
        </w:numPr>
        <w:rPr>
          <w:rFonts w:ascii="Arial" w:hAnsi="Arial" w:cs="Arial"/>
        </w:rPr>
      </w:pPr>
      <w:r>
        <w:rPr>
          <w:rFonts w:ascii="Arial" w:hAnsi="Arial" w:cs="Arial"/>
        </w:rPr>
        <w:t>T</w:t>
      </w:r>
      <w:r w:rsidRPr="000029C3">
        <w:rPr>
          <w:rFonts w:ascii="Arial" w:hAnsi="Arial" w:cs="Arial"/>
        </w:rPr>
        <w:t>he Court reversed Terminiello’s conviction</w:t>
      </w:r>
      <w:r>
        <w:rPr>
          <w:rFonts w:ascii="Arial" w:hAnsi="Arial" w:cs="Arial"/>
        </w:rPr>
        <w:t>.</w:t>
      </w:r>
    </w:p>
    <w:p w14:paraId="5BC65C86" w14:textId="2330B2BE" w:rsidR="00CA6731" w:rsidRDefault="00CA6731" w:rsidP="00CA6731">
      <w:pPr>
        <w:pStyle w:val="ListParagraph"/>
        <w:numPr>
          <w:ilvl w:val="3"/>
          <w:numId w:val="1"/>
        </w:numPr>
        <w:rPr>
          <w:rFonts w:ascii="Arial" w:hAnsi="Arial" w:cs="Arial"/>
          <w:i/>
          <w:iCs/>
        </w:rPr>
      </w:pPr>
      <w:r w:rsidRPr="00CA6731">
        <w:rPr>
          <w:rFonts w:ascii="Arial" w:hAnsi="Arial" w:cs="Arial"/>
          <w:i/>
          <w:iCs/>
        </w:rPr>
        <w:t>Feiner v. New York (1951)</w:t>
      </w:r>
    </w:p>
    <w:p w14:paraId="6119484A" w14:textId="2F23CE7E" w:rsidR="000029C3" w:rsidRDefault="000029C3" w:rsidP="000029C3">
      <w:pPr>
        <w:pStyle w:val="ListParagraph"/>
        <w:numPr>
          <w:ilvl w:val="4"/>
          <w:numId w:val="1"/>
        </w:numPr>
        <w:rPr>
          <w:rFonts w:ascii="Arial" w:hAnsi="Arial" w:cs="Arial"/>
        </w:rPr>
      </w:pPr>
      <w:r w:rsidRPr="000029C3">
        <w:rPr>
          <w:rFonts w:ascii="Arial" w:hAnsi="Arial" w:cs="Arial"/>
        </w:rPr>
        <w:t>Irving Feiner, a college student, stood on a box and made an impromptu speech on a street corner in Syracuse.</w:t>
      </w:r>
    </w:p>
    <w:p w14:paraId="4FA2E594" w14:textId="40F0DF95" w:rsidR="000029C3" w:rsidRDefault="000029C3" w:rsidP="000029C3">
      <w:pPr>
        <w:pStyle w:val="ListParagraph"/>
        <w:numPr>
          <w:ilvl w:val="4"/>
          <w:numId w:val="1"/>
        </w:numPr>
        <w:rPr>
          <w:rFonts w:ascii="Arial" w:hAnsi="Arial" w:cs="Arial"/>
        </w:rPr>
      </w:pPr>
      <w:r>
        <w:rPr>
          <w:rFonts w:ascii="Arial" w:hAnsi="Arial" w:cs="Arial"/>
        </w:rPr>
        <w:t xml:space="preserve">He </w:t>
      </w:r>
      <w:r w:rsidRPr="000029C3">
        <w:rPr>
          <w:rFonts w:ascii="Arial" w:hAnsi="Arial" w:cs="Arial"/>
        </w:rPr>
        <w:t xml:space="preserve">criticized </w:t>
      </w:r>
      <w:r w:rsidR="00F93A83" w:rsidRPr="000029C3">
        <w:rPr>
          <w:rFonts w:ascii="Arial" w:hAnsi="Arial" w:cs="Arial"/>
        </w:rPr>
        <w:t>several</w:t>
      </w:r>
      <w:r w:rsidRPr="000029C3">
        <w:rPr>
          <w:rFonts w:ascii="Arial" w:hAnsi="Arial" w:cs="Arial"/>
        </w:rPr>
        <w:t xml:space="preserve"> public officials and encouraged Black people to demand equal rights.</w:t>
      </w:r>
    </w:p>
    <w:p w14:paraId="57BE4AD9" w14:textId="77777777" w:rsidR="000029C3" w:rsidRDefault="000029C3" w:rsidP="000029C3">
      <w:pPr>
        <w:pStyle w:val="ListParagraph"/>
        <w:numPr>
          <w:ilvl w:val="4"/>
          <w:numId w:val="1"/>
        </w:numPr>
        <w:rPr>
          <w:rFonts w:ascii="Arial" w:hAnsi="Arial" w:cs="Arial"/>
        </w:rPr>
      </w:pPr>
      <w:r w:rsidRPr="000029C3">
        <w:rPr>
          <w:rFonts w:ascii="Arial" w:hAnsi="Arial" w:cs="Arial"/>
        </w:rPr>
        <w:t>Two police officers on the scene determined that, to ensure public safety, Feiner should suspend his speech.</w:t>
      </w:r>
    </w:p>
    <w:p w14:paraId="6CECF8A1" w14:textId="2D4F56B6" w:rsidR="000029C3" w:rsidRDefault="000029C3" w:rsidP="000029C3">
      <w:pPr>
        <w:pStyle w:val="ListParagraph"/>
        <w:numPr>
          <w:ilvl w:val="4"/>
          <w:numId w:val="1"/>
        </w:numPr>
        <w:rPr>
          <w:rFonts w:ascii="Arial" w:hAnsi="Arial" w:cs="Arial"/>
        </w:rPr>
      </w:pPr>
      <w:r w:rsidRPr="000029C3">
        <w:rPr>
          <w:rFonts w:ascii="Arial" w:hAnsi="Arial" w:cs="Arial"/>
        </w:rPr>
        <w:t>When he refused, he was arrested.</w:t>
      </w:r>
    </w:p>
    <w:p w14:paraId="73A1B129" w14:textId="4E4095D7" w:rsidR="000029C3" w:rsidRPr="000029C3" w:rsidRDefault="000029C3" w:rsidP="000029C3">
      <w:pPr>
        <w:pStyle w:val="ListParagraph"/>
        <w:numPr>
          <w:ilvl w:val="4"/>
          <w:numId w:val="1"/>
        </w:numPr>
        <w:rPr>
          <w:rFonts w:ascii="Arial" w:hAnsi="Arial" w:cs="Arial"/>
        </w:rPr>
      </w:pPr>
      <w:r>
        <w:rPr>
          <w:rFonts w:ascii="Arial" w:hAnsi="Arial" w:cs="Arial"/>
        </w:rPr>
        <w:t>T</w:t>
      </w:r>
      <w:r w:rsidRPr="000029C3">
        <w:rPr>
          <w:rFonts w:ascii="Arial" w:hAnsi="Arial" w:cs="Arial"/>
        </w:rPr>
        <w:t>he Court upheld the conviction for breach of the peace.</w:t>
      </w:r>
    </w:p>
    <w:p w14:paraId="0B5FCB5E" w14:textId="22674885" w:rsidR="00256313" w:rsidRDefault="00256313" w:rsidP="00256313">
      <w:pPr>
        <w:pStyle w:val="ListParagraph"/>
        <w:numPr>
          <w:ilvl w:val="2"/>
          <w:numId w:val="1"/>
        </w:numPr>
        <w:rPr>
          <w:rFonts w:ascii="Arial" w:hAnsi="Arial" w:cs="Arial"/>
        </w:rPr>
      </w:pPr>
      <w:r w:rsidRPr="00256313">
        <w:rPr>
          <w:rFonts w:ascii="Arial" w:hAnsi="Arial" w:cs="Arial"/>
        </w:rPr>
        <w:t>Fighting Words</w:t>
      </w:r>
    </w:p>
    <w:p w14:paraId="4AB7A845" w14:textId="31D0DCAF" w:rsidR="00CA6731" w:rsidRDefault="00CA6731" w:rsidP="00CA6731">
      <w:pPr>
        <w:pStyle w:val="ListParagraph"/>
        <w:numPr>
          <w:ilvl w:val="3"/>
          <w:numId w:val="1"/>
        </w:numPr>
        <w:rPr>
          <w:rFonts w:ascii="Arial" w:hAnsi="Arial" w:cs="Arial"/>
          <w:i/>
          <w:iCs/>
        </w:rPr>
      </w:pPr>
      <w:r w:rsidRPr="00CA6731">
        <w:rPr>
          <w:rFonts w:ascii="Arial" w:hAnsi="Arial" w:cs="Arial"/>
          <w:i/>
          <w:iCs/>
        </w:rPr>
        <w:t>Chaplinsky v. New Hampshire (1942)</w:t>
      </w:r>
    </w:p>
    <w:p w14:paraId="3ED1E018" w14:textId="03367283" w:rsidR="000029C3" w:rsidRDefault="000029C3" w:rsidP="000029C3">
      <w:pPr>
        <w:pStyle w:val="ListParagraph"/>
        <w:numPr>
          <w:ilvl w:val="4"/>
          <w:numId w:val="1"/>
        </w:numPr>
        <w:rPr>
          <w:rFonts w:ascii="Arial" w:hAnsi="Arial" w:cs="Arial"/>
        </w:rPr>
      </w:pPr>
      <w:r w:rsidRPr="000029C3">
        <w:rPr>
          <w:rFonts w:ascii="Arial" w:hAnsi="Arial" w:cs="Arial"/>
        </w:rPr>
        <w:t>To the court, speech that is so inflammatory that it provokes a violent response from the listener is not really speech at all.</w:t>
      </w:r>
    </w:p>
    <w:p w14:paraId="2BB03983" w14:textId="015B57BB" w:rsidR="000029C3" w:rsidRDefault="000029C3" w:rsidP="000029C3">
      <w:pPr>
        <w:pStyle w:val="ListParagraph"/>
        <w:numPr>
          <w:ilvl w:val="4"/>
          <w:numId w:val="1"/>
        </w:numPr>
        <w:rPr>
          <w:rFonts w:ascii="Arial" w:hAnsi="Arial" w:cs="Arial"/>
        </w:rPr>
      </w:pPr>
      <w:r>
        <w:rPr>
          <w:rFonts w:ascii="Arial" w:hAnsi="Arial" w:cs="Arial"/>
        </w:rPr>
        <w:t>T</w:t>
      </w:r>
      <w:r w:rsidRPr="000029C3">
        <w:rPr>
          <w:rFonts w:ascii="Arial" w:hAnsi="Arial" w:cs="Arial"/>
        </w:rPr>
        <w:t>he majority opinion affirmed Chaplinsky’s conviction, holding the government may prohibit fighting words</w:t>
      </w:r>
      <w:r>
        <w:rPr>
          <w:rFonts w:ascii="Arial" w:hAnsi="Arial" w:cs="Arial"/>
        </w:rPr>
        <w:t>.</w:t>
      </w:r>
    </w:p>
    <w:p w14:paraId="747B0095" w14:textId="779B051E" w:rsidR="000029C3" w:rsidRPr="000029C3" w:rsidRDefault="000029C3" w:rsidP="000029C3">
      <w:pPr>
        <w:pStyle w:val="ListParagraph"/>
        <w:numPr>
          <w:ilvl w:val="4"/>
          <w:numId w:val="1"/>
        </w:numPr>
        <w:rPr>
          <w:rFonts w:ascii="Arial" w:hAnsi="Arial" w:cs="Arial"/>
        </w:rPr>
      </w:pPr>
      <w:r>
        <w:rPr>
          <w:rFonts w:ascii="Arial" w:hAnsi="Arial" w:cs="Arial"/>
        </w:rPr>
        <w:t xml:space="preserve">Fighting words were defined </w:t>
      </w:r>
      <w:r w:rsidRPr="000029C3">
        <w:rPr>
          <w:rFonts w:ascii="Arial" w:hAnsi="Arial" w:cs="Arial"/>
        </w:rPr>
        <w:t>as words “which by their very utterance inflict injury or tend to incite an immediate breach of peace.”</w:t>
      </w:r>
    </w:p>
    <w:p w14:paraId="35EBF76F" w14:textId="061EBCD5" w:rsidR="00CA6731" w:rsidRDefault="00CA6731" w:rsidP="00CA6731">
      <w:pPr>
        <w:pStyle w:val="ListParagraph"/>
        <w:numPr>
          <w:ilvl w:val="3"/>
          <w:numId w:val="1"/>
        </w:numPr>
        <w:rPr>
          <w:rFonts w:ascii="Arial" w:hAnsi="Arial" w:cs="Arial"/>
          <w:i/>
          <w:iCs/>
        </w:rPr>
      </w:pPr>
      <w:r w:rsidRPr="00CA6731">
        <w:rPr>
          <w:rFonts w:ascii="Arial" w:hAnsi="Arial" w:cs="Arial"/>
          <w:i/>
          <w:iCs/>
        </w:rPr>
        <w:t>Cohen v. California (1971)</w:t>
      </w:r>
    </w:p>
    <w:p w14:paraId="7883A179" w14:textId="17CB3D93" w:rsidR="00C5527F" w:rsidRDefault="00C5527F" w:rsidP="00C5527F">
      <w:pPr>
        <w:pStyle w:val="ListParagraph"/>
        <w:numPr>
          <w:ilvl w:val="4"/>
          <w:numId w:val="1"/>
        </w:numPr>
        <w:rPr>
          <w:rFonts w:ascii="Arial" w:hAnsi="Arial" w:cs="Arial"/>
        </w:rPr>
      </w:pPr>
      <w:r>
        <w:rPr>
          <w:rFonts w:ascii="Arial" w:hAnsi="Arial" w:cs="Arial"/>
        </w:rPr>
        <w:t>T</w:t>
      </w:r>
      <w:r w:rsidRPr="00C5527F">
        <w:rPr>
          <w:rFonts w:ascii="Arial" w:hAnsi="Arial" w:cs="Arial"/>
        </w:rPr>
        <w:t>he Court refined its approach to fighting words.</w:t>
      </w:r>
    </w:p>
    <w:p w14:paraId="136382A4" w14:textId="0514B221" w:rsidR="00C5527F" w:rsidRPr="00C5527F" w:rsidRDefault="00C5527F" w:rsidP="00C5527F">
      <w:pPr>
        <w:pStyle w:val="ListParagraph"/>
        <w:numPr>
          <w:ilvl w:val="4"/>
          <w:numId w:val="1"/>
        </w:numPr>
        <w:rPr>
          <w:rFonts w:ascii="Arial" w:hAnsi="Arial" w:cs="Arial"/>
        </w:rPr>
      </w:pPr>
      <w:r w:rsidRPr="00C5527F">
        <w:rPr>
          <w:rFonts w:ascii="Arial" w:hAnsi="Arial" w:cs="Arial"/>
        </w:rPr>
        <w:t xml:space="preserve">In addition to meeting </w:t>
      </w:r>
      <w:r w:rsidRPr="00C5527F">
        <w:rPr>
          <w:rFonts w:ascii="Arial" w:hAnsi="Arial" w:cs="Arial"/>
          <w:i/>
          <w:iCs/>
        </w:rPr>
        <w:t>Chaplinsky</w:t>
      </w:r>
      <w:r w:rsidRPr="00C5527F">
        <w:rPr>
          <w:rFonts w:ascii="Arial" w:hAnsi="Arial" w:cs="Arial"/>
        </w:rPr>
        <w:t>’s definition</w:t>
      </w:r>
      <w:r>
        <w:rPr>
          <w:rFonts w:ascii="Arial" w:hAnsi="Arial" w:cs="Arial"/>
        </w:rPr>
        <w:t xml:space="preserve">, </w:t>
      </w:r>
      <w:r w:rsidRPr="00C5527F">
        <w:rPr>
          <w:rFonts w:ascii="Arial" w:hAnsi="Arial" w:cs="Arial"/>
        </w:rPr>
        <w:t>the government must show that the speech was a “direct personal insult” intended to “violently arouse” the listener.</w:t>
      </w:r>
    </w:p>
    <w:p w14:paraId="3854724B" w14:textId="3B4AA1C7" w:rsidR="00CA6731" w:rsidRDefault="00CA6731" w:rsidP="00CA6731">
      <w:pPr>
        <w:pStyle w:val="ListParagraph"/>
        <w:numPr>
          <w:ilvl w:val="3"/>
          <w:numId w:val="1"/>
        </w:numPr>
        <w:rPr>
          <w:rFonts w:ascii="Arial" w:hAnsi="Arial" w:cs="Arial"/>
          <w:i/>
          <w:iCs/>
        </w:rPr>
      </w:pPr>
      <w:r w:rsidRPr="00CA6731">
        <w:rPr>
          <w:rFonts w:ascii="Arial" w:hAnsi="Arial" w:cs="Arial"/>
          <w:i/>
          <w:iCs/>
        </w:rPr>
        <w:t>Gooding v. Wilson (1972)</w:t>
      </w:r>
    </w:p>
    <w:p w14:paraId="3623B45E" w14:textId="5A2566E3" w:rsidR="00C5527F" w:rsidRDefault="00C5527F" w:rsidP="00C5527F">
      <w:pPr>
        <w:pStyle w:val="ListParagraph"/>
        <w:numPr>
          <w:ilvl w:val="4"/>
          <w:numId w:val="1"/>
        </w:numPr>
        <w:rPr>
          <w:rFonts w:ascii="Arial" w:hAnsi="Arial" w:cs="Arial"/>
        </w:rPr>
      </w:pPr>
      <w:r w:rsidRPr="00C5527F">
        <w:rPr>
          <w:rFonts w:ascii="Arial" w:hAnsi="Arial" w:cs="Arial"/>
        </w:rPr>
        <w:t>The justices considered a Georgia law prohibiting “opprobrious words or abusive language, tending to cause a breach of the peace.”</w:t>
      </w:r>
    </w:p>
    <w:p w14:paraId="4E547918" w14:textId="6C7D21FC" w:rsidR="00C5527F" w:rsidRPr="00C5527F" w:rsidRDefault="00C5527F" w:rsidP="00C5527F">
      <w:pPr>
        <w:pStyle w:val="ListParagraph"/>
        <w:numPr>
          <w:ilvl w:val="4"/>
          <w:numId w:val="1"/>
        </w:numPr>
        <w:rPr>
          <w:rFonts w:ascii="Arial" w:hAnsi="Arial" w:cs="Arial"/>
        </w:rPr>
      </w:pPr>
      <w:r w:rsidRPr="00C5527F">
        <w:rPr>
          <w:rFonts w:ascii="Arial" w:hAnsi="Arial" w:cs="Arial"/>
        </w:rPr>
        <w:t>To show how broadly the law swept, the Court pointed out that the Georgia Supreme Court allowed the remark, “You swore a lie,” to be considered fighting words.</w:t>
      </w:r>
    </w:p>
    <w:p w14:paraId="03A0C319" w14:textId="29C3C14B" w:rsidR="00CA6731" w:rsidRDefault="00CA6731" w:rsidP="00CA6731">
      <w:pPr>
        <w:pStyle w:val="ListParagraph"/>
        <w:numPr>
          <w:ilvl w:val="3"/>
          <w:numId w:val="1"/>
        </w:numPr>
        <w:rPr>
          <w:rFonts w:ascii="Arial" w:hAnsi="Arial" w:cs="Arial"/>
          <w:b/>
          <w:bCs/>
          <w:i/>
          <w:iCs/>
        </w:rPr>
      </w:pPr>
      <w:r w:rsidRPr="00CA6731">
        <w:rPr>
          <w:rFonts w:ascii="Arial" w:hAnsi="Arial" w:cs="Arial"/>
          <w:b/>
          <w:bCs/>
          <w:i/>
          <w:iCs/>
        </w:rPr>
        <w:t>R.A.V. v. City of St. Paul (1992)</w:t>
      </w:r>
    </w:p>
    <w:p w14:paraId="1F56804F" w14:textId="131E182A" w:rsidR="00C5527F" w:rsidRDefault="00C5527F" w:rsidP="00C5527F">
      <w:pPr>
        <w:pStyle w:val="ListParagraph"/>
        <w:numPr>
          <w:ilvl w:val="4"/>
          <w:numId w:val="1"/>
        </w:numPr>
        <w:rPr>
          <w:rFonts w:ascii="Arial" w:hAnsi="Arial" w:cs="Arial"/>
        </w:rPr>
      </w:pPr>
      <w:r>
        <w:rPr>
          <w:rFonts w:ascii="Arial" w:hAnsi="Arial" w:cs="Arial"/>
        </w:rPr>
        <w:t>T</w:t>
      </w:r>
      <w:r w:rsidRPr="00C5527F">
        <w:rPr>
          <w:rFonts w:ascii="Arial" w:hAnsi="Arial" w:cs="Arial"/>
        </w:rPr>
        <w:t>he Court considered a fighting words ordinance that prohibited placing “on public or private property objects, characterizations, or graffiti . . . which one knows or has reasonable grounds to know arouses anger, alarm or resentment in others on the basis of race, color, creed, religion or gender.”</w:t>
      </w:r>
    </w:p>
    <w:p w14:paraId="44AFBA36" w14:textId="3C042450" w:rsidR="00C5527F" w:rsidRPr="00C5527F" w:rsidRDefault="00C5527F" w:rsidP="00C5527F">
      <w:pPr>
        <w:pStyle w:val="ListParagraph"/>
        <w:numPr>
          <w:ilvl w:val="4"/>
          <w:numId w:val="1"/>
        </w:numPr>
        <w:rPr>
          <w:rFonts w:ascii="Arial" w:hAnsi="Arial" w:cs="Arial"/>
        </w:rPr>
      </w:pPr>
      <w:r w:rsidRPr="00C5527F">
        <w:rPr>
          <w:rFonts w:ascii="Arial" w:hAnsi="Arial" w:cs="Arial"/>
        </w:rPr>
        <w:t>Because the law, without sufficient justification, created “content-based distinctions among expressions of hate”</w:t>
      </w:r>
      <w:r>
        <w:rPr>
          <w:rFonts w:ascii="Arial" w:hAnsi="Arial" w:cs="Arial"/>
        </w:rPr>
        <w:t xml:space="preserve"> </w:t>
      </w:r>
      <w:r w:rsidRPr="00C5527F">
        <w:rPr>
          <w:rFonts w:ascii="Arial" w:hAnsi="Arial" w:cs="Arial"/>
        </w:rPr>
        <w:t>the Court invalidated it</w:t>
      </w:r>
      <w:r>
        <w:rPr>
          <w:rFonts w:ascii="Arial" w:hAnsi="Arial" w:cs="Arial"/>
        </w:rPr>
        <w:t>.</w:t>
      </w:r>
    </w:p>
    <w:p w14:paraId="233D117D" w14:textId="23C3A456" w:rsidR="00256313" w:rsidRDefault="00256313" w:rsidP="00256313">
      <w:pPr>
        <w:pStyle w:val="ListParagraph"/>
        <w:numPr>
          <w:ilvl w:val="1"/>
          <w:numId w:val="1"/>
        </w:numPr>
        <w:rPr>
          <w:rFonts w:ascii="Arial" w:hAnsi="Arial" w:cs="Arial"/>
        </w:rPr>
      </w:pPr>
      <w:r w:rsidRPr="00256313">
        <w:rPr>
          <w:rFonts w:ascii="Arial" w:hAnsi="Arial" w:cs="Arial"/>
        </w:rPr>
        <w:t>Unprotected Categories and Hate Speech</w:t>
      </w:r>
    </w:p>
    <w:p w14:paraId="43A9238E" w14:textId="6CD87FAC" w:rsidR="00C5527F" w:rsidRDefault="00C5527F" w:rsidP="00C5527F">
      <w:pPr>
        <w:pStyle w:val="ListParagraph"/>
        <w:numPr>
          <w:ilvl w:val="2"/>
          <w:numId w:val="1"/>
        </w:numPr>
        <w:rPr>
          <w:rFonts w:ascii="Arial" w:hAnsi="Arial" w:cs="Arial"/>
        </w:rPr>
      </w:pPr>
      <w:r>
        <w:rPr>
          <w:rFonts w:ascii="Arial" w:hAnsi="Arial" w:cs="Arial"/>
        </w:rPr>
        <w:t>L</w:t>
      </w:r>
      <w:r w:rsidRPr="00C5527F">
        <w:rPr>
          <w:rFonts w:ascii="Arial" w:hAnsi="Arial" w:cs="Arial"/>
        </w:rPr>
        <w:t>egal observers have increasingly turned their sights on expression that vilifies others, more commonly referred to as “hate speech.”</w:t>
      </w:r>
    </w:p>
    <w:p w14:paraId="22595EDD" w14:textId="2EEE6AE1" w:rsidR="00C5527F" w:rsidRDefault="00C5527F" w:rsidP="00C5527F">
      <w:pPr>
        <w:pStyle w:val="ListParagraph"/>
        <w:numPr>
          <w:ilvl w:val="2"/>
          <w:numId w:val="1"/>
        </w:numPr>
        <w:rPr>
          <w:rFonts w:ascii="Arial" w:hAnsi="Arial" w:cs="Arial"/>
        </w:rPr>
      </w:pPr>
      <w:r w:rsidRPr="00C5527F">
        <w:rPr>
          <w:rFonts w:ascii="Arial" w:hAnsi="Arial" w:cs="Arial"/>
        </w:rPr>
        <w:t>Educational institutions try to provide an open and welcoming environment, and some have speech codes that aim to maintain that environment.</w:t>
      </w:r>
    </w:p>
    <w:p w14:paraId="35EF6A7F" w14:textId="77231F79" w:rsidR="00C5527F" w:rsidRDefault="00C5527F" w:rsidP="00C5527F">
      <w:pPr>
        <w:pStyle w:val="ListParagraph"/>
        <w:numPr>
          <w:ilvl w:val="2"/>
          <w:numId w:val="1"/>
        </w:numPr>
        <w:rPr>
          <w:rFonts w:ascii="Arial" w:hAnsi="Arial" w:cs="Arial"/>
        </w:rPr>
      </w:pPr>
      <w:r w:rsidRPr="00C5527F">
        <w:rPr>
          <w:rFonts w:ascii="Arial" w:hAnsi="Arial" w:cs="Arial"/>
        </w:rPr>
        <w:t>It is conceivable, though, that the Court would invalidate at least some of the codes maintained by public universities.</w:t>
      </w:r>
    </w:p>
    <w:p w14:paraId="13326CF4" w14:textId="7F76F219" w:rsidR="00C5527F" w:rsidRDefault="00C5527F" w:rsidP="00C5527F">
      <w:pPr>
        <w:pStyle w:val="ListParagraph"/>
        <w:numPr>
          <w:ilvl w:val="2"/>
          <w:numId w:val="1"/>
        </w:numPr>
        <w:rPr>
          <w:rFonts w:ascii="Arial" w:hAnsi="Arial" w:cs="Arial"/>
        </w:rPr>
      </w:pPr>
      <w:r>
        <w:rPr>
          <w:rFonts w:ascii="Arial" w:hAnsi="Arial" w:cs="Arial"/>
        </w:rPr>
        <w:t>T</w:t>
      </w:r>
      <w:r w:rsidRPr="00C5527F">
        <w:rPr>
          <w:rFonts w:ascii="Arial" w:hAnsi="Arial" w:cs="Arial"/>
        </w:rPr>
        <w:t>he university could attempt to argue that its code met the standard of strict scrutiny</w:t>
      </w:r>
      <w:r>
        <w:rPr>
          <w:rFonts w:ascii="Arial" w:hAnsi="Arial" w:cs="Arial"/>
        </w:rPr>
        <w:t>.</w:t>
      </w:r>
    </w:p>
    <w:p w14:paraId="3CCFD373" w14:textId="36FBB60A" w:rsidR="00256313" w:rsidRDefault="00256313" w:rsidP="00256313">
      <w:pPr>
        <w:pStyle w:val="ListParagraph"/>
        <w:numPr>
          <w:ilvl w:val="0"/>
          <w:numId w:val="1"/>
        </w:numPr>
        <w:rPr>
          <w:rFonts w:ascii="Arial" w:hAnsi="Arial" w:cs="Arial"/>
        </w:rPr>
      </w:pPr>
      <w:r w:rsidRPr="00256313">
        <w:rPr>
          <w:rFonts w:ascii="Arial" w:hAnsi="Arial" w:cs="Arial"/>
        </w:rPr>
        <w:t>Who Is Speaking?</w:t>
      </w:r>
    </w:p>
    <w:p w14:paraId="172A20FA" w14:textId="37231AA4" w:rsidR="00256313" w:rsidRDefault="00256313" w:rsidP="00256313">
      <w:pPr>
        <w:pStyle w:val="ListParagraph"/>
        <w:numPr>
          <w:ilvl w:val="1"/>
          <w:numId w:val="1"/>
        </w:numPr>
        <w:rPr>
          <w:rFonts w:ascii="Arial" w:hAnsi="Arial" w:cs="Arial"/>
        </w:rPr>
      </w:pPr>
      <w:r w:rsidRPr="00256313">
        <w:rPr>
          <w:rFonts w:ascii="Arial" w:hAnsi="Arial" w:cs="Arial"/>
        </w:rPr>
        <w:t>Student Speech</w:t>
      </w:r>
    </w:p>
    <w:p w14:paraId="6516AACB" w14:textId="77277DDE" w:rsidR="00CA6731" w:rsidRDefault="00CA6731" w:rsidP="00CA6731">
      <w:pPr>
        <w:pStyle w:val="ListParagraph"/>
        <w:numPr>
          <w:ilvl w:val="2"/>
          <w:numId w:val="1"/>
        </w:numPr>
        <w:rPr>
          <w:rFonts w:ascii="Arial" w:hAnsi="Arial" w:cs="Arial"/>
          <w:i/>
          <w:iCs/>
        </w:rPr>
      </w:pPr>
      <w:r w:rsidRPr="00CA6731">
        <w:rPr>
          <w:rFonts w:ascii="Arial" w:hAnsi="Arial" w:cs="Arial"/>
          <w:i/>
          <w:iCs/>
        </w:rPr>
        <w:t>Tinker v. Des Moines Independent Community School District (1969)</w:t>
      </w:r>
    </w:p>
    <w:p w14:paraId="533A776C" w14:textId="1413A614" w:rsidR="00C5527F" w:rsidRDefault="00C5527F" w:rsidP="00C5527F">
      <w:pPr>
        <w:pStyle w:val="ListParagraph"/>
        <w:numPr>
          <w:ilvl w:val="3"/>
          <w:numId w:val="1"/>
        </w:numPr>
        <w:rPr>
          <w:rFonts w:ascii="Arial" w:hAnsi="Arial" w:cs="Arial"/>
        </w:rPr>
      </w:pPr>
      <w:r w:rsidRPr="00C5527F">
        <w:rPr>
          <w:rFonts w:ascii="Arial" w:hAnsi="Arial" w:cs="Arial"/>
        </w:rPr>
        <w:t xml:space="preserve">Teachers and students, </w:t>
      </w:r>
      <w:r>
        <w:rPr>
          <w:rFonts w:ascii="Arial" w:hAnsi="Arial" w:cs="Arial"/>
        </w:rPr>
        <w:t>Justice Fortas</w:t>
      </w:r>
      <w:r w:rsidRPr="00C5527F">
        <w:rPr>
          <w:rFonts w:ascii="Arial" w:hAnsi="Arial" w:cs="Arial"/>
        </w:rPr>
        <w:t xml:space="preserve"> declared, do not shed their constitutional rights at the schoolhouse gate.</w:t>
      </w:r>
    </w:p>
    <w:p w14:paraId="658610B3" w14:textId="1A9FCF8A" w:rsidR="00C5527F" w:rsidRPr="00C5527F" w:rsidRDefault="00F93A83" w:rsidP="00C5527F">
      <w:pPr>
        <w:pStyle w:val="ListParagraph"/>
        <w:numPr>
          <w:ilvl w:val="3"/>
          <w:numId w:val="1"/>
        </w:numPr>
        <w:rPr>
          <w:rFonts w:ascii="Arial" w:hAnsi="Arial" w:cs="Arial"/>
        </w:rPr>
      </w:pPr>
      <w:r w:rsidRPr="00C5527F">
        <w:rPr>
          <w:rFonts w:ascii="Arial" w:hAnsi="Arial" w:cs="Arial"/>
        </w:rPr>
        <w:t>If</w:t>
      </w:r>
      <w:r w:rsidR="00C5527F" w:rsidRPr="00C5527F">
        <w:rPr>
          <w:rFonts w:ascii="Arial" w:hAnsi="Arial" w:cs="Arial"/>
        </w:rPr>
        <w:t xml:space="preserve"> the speech does not disrupt the educational process, government has no authority to proscribe it.</w:t>
      </w:r>
    </w:p>
    <w:p w14:paraId="3FE03A3D" w14:textId="58A3FE58" w:rsidR="00CA6731" w:rsidRDefault="00CA6731" w:rsidP="00CA6731">
      <w:pPr>
        <w:pStyle w:val="ListParagraph"/>
        <w:numPr>
          <w:ilvl w:val="2"/>
          <w:numId w:val="1"/>
        </w:numPr>
        <w:rPr>
          <w:rFonts w:ascii="Arial" w:hAnsi="Arial" w:cs="Arial"/>
          <w:i/>
          <w:iCs/>
        </w:rPr>
      </w:pPr>
      <w:r w:rsidRPr="00CA6731">
        <w:rPr>
          <w:rFonts w:ascii="Arial" w:hAnsi="Arial" w:cs="Arial"/>
          <w:i/>
          <w:iCs/>
        </w:rPr>
        <w:t>Bethel School District No. 403 v. Fraser (1986)</w:t>
      </w:r>
    </w:p>
    <w:p w14:paraId="43B01921" w14:textId="40603EE8" w:rsidR="00C5527F" w:rsidRPr="00C5527F" w:rsidRDefault="00C5527F" w:rsidP="00C5527F">
      <w:pPr>
        <w:pStyle w:val="ListParagraph"/>
        <w:numPr>
          <w:ilvl w:val="3"/>
          <w:numId w:val="1"/>
        </w:numPr>
        <w:rPr>
          <w:rFonts w:ascii="Arial" w:hAnsi="Arial" w:cs="Arial"/>
        </w:rPr>
      </w:pPr>
      <w:r>
        <w:rPr>
          <w:rFonts w:ascii="Arial" w:hAnsi="Arial" w:cs="Arial"/>
        </w:rPr>
        <w:t>T</w:t>
      </w:r>
      <w:r w:rsidRPr="00C5527F">
        <w:rPr>
          <w:rFonts w:ascii="Arial" w:hAnsi="Arial" w:cs="Arial"/>
        </w:rPr>
        <w:t>he justices upheld the action of Washington state education officials who disciplined high school senior Matthew Fraser for delivering a student assembly speech that violated a policy against “the use of obscene, profane language or gestures.”</w:t>
      </w:r>
    </w:p>
    <w:p w14:paraId="3C49EA06" w14:textId="4CF537DC" w:rsidR="00CA6731" w:rsidRDefault="00CA6731" w:rsidP="00CA6731">
      <w:pPr>
        <w:pStyle w:val="ListParagraph"/>
        <w:numPr>
          <w:ilvl w:val="2"/>
          <w:numId w:val="1"/>
        </w:numPr>
        <w:rPr>
          <w:rFonts w:ascii="Arial" w:hAnsi="Arial" w:cs="Arial"/>
          <w:i/>
          <w:iCs/>
        </w:rPr>
      </w:pPr>
      <w:r w:rsidRPr="00CA6731">
        <w:rPr>
          <w:rFonts w:ascii="Arial" w:hAnsi="Arial" w:cs="Arial"/>
          <w:i/>
          <w:iCs/>
        </w:rPr>
        <w:t>Morse v. Frederick (2007)</w:t>
      </w:r>
    </w:p>
    <w:p w14:paraId="26822BBE" w14:textId="52829C86" w:rsidR="00F93A83" w:rsidRDefault="00F93A83" w:rsidP="00F93A83">
      <w:pPr>
        <w:pStyle w:val="ListParagraph"/>
        <w:numPr>
          <w:ilvl w:val="3"/>
          <w:numId w:val="1"/>
        </w:numPr>
        <w:rPr>
          <w:rFonts w:ascii="Arial" w:hAnsi="Arial" w:cs="Arial"/>
        </w:rPr>
      </w:pPr>
      <w:r w:rsidRPr="00F93A83">
        <w:rPr>
          <w:rFonts w:ascii="Arial" w:hAnsi="Arial" w:cs="Arial"/>
        </w:rPr>
        <w:t>The justices express a wide array of views.</w:t>
      </w:r>
    </w:p>
    <w:p w14:paraId="71DC00BB" w14:textId="5349EDFB" w:rsidR="00F93A83" w:rsidRDefault="00F93A83" w:rsidP="00F93A83">
      <w:pPr>
        <w:pStyle w:val="ListParagraph"/>
        <w:numPr>
          <w:ilvl w:val="3"/>
          <w:numId w:val="1"/>
        </w:numPr>
        <w:rPr>
          <w:rFonts w:ascii="Arial" w:hAnsi="Arial" w:cs="Arial"/>
        </w:rPr>
      </w:pPr>
      <w:r w:rsidRPr="00F93A83">
        <w:rPr>
          <w:rFonts w:ascii="Arial" w:hAnsi="Arial" w:cs="Arial"/>
        </w:rPr>
        <w:t xml:space="preserve">Justice Stevens’s dissenting opinion strongly supports the </w:t>
      </w:r>
      <w:r w:rsidRPr="00F93A83">
        <w:rPr>
          <w:rFonts w:ascii="Arial" w:hAnsi="Arial" w:cs="Arial"/>
          <w:i/>
          <w:iCs/>
        </w:rPr>
        <w:t>Tinker</w:t>
      </w:r>
      <w:r w:rsidRPr="00F93A83">
        <w:rPr>
          <w:rFonts w:ascii="Arial" w:hAnsi="Arial" w:cs="Arial"/>
        </w:rPr>
        <w:t xml:space="preserve"> precedent; he would protect almost all student expression.</w:t>
      </w:r>
    </w:p>
    <w:p w14:paraId="484D0E1E" w14:textId="348BA4EE" w:rsidR="00F93A83" w:rsidRDefault="00F93A83" w:rsidP="00F93A83">
      <w:pPr>
        <w:pStyle w:val="ListParagraph"/>
        <w:numPr>
          <w:ilvl w:val="3"/>
          <w:numId w:val="1"/>
        </w:numPr>
        <w:rPr>
          <w:rFonts w:ascii="Arial" w:hAnsi="Arial" w:cs="Arial"/>
        </w:rPr>
      </w:pPr>
      <w:r w:rsidRPr="00F93A83">
        <w:rPr>
          <w:rFonts w:ascii="Arial" w:hAnsi="Arial" w:cs="Arial"/>
        </w:rPr>
        <w:t>Justice Thomas believes that students have no constitutionally protected expression rights</w:t>
      </w:r>
      <w:r>
        <w:rPr>
          <w:rFonts w:ascii="Arial" w:hAnsi="Arial" w:cs="Arial"/>
        </w:rPr>
        <w:t xml:space="preserve"> and</w:t>
      </w:r>
      <w:r w:rsidRPr="00F93A83">
        <w:rPr>
          <w:rFonts w:ascii="Arial" w:hAnsi="Arial" w:cs="Arial"/>
        </w:rPr>
        <w:t xml:space="preserve"> thinks </w:t>
      </w:r>
      <w:r w:rsidRPr="00F93A83">
        <w:rPr>
          <w:rFonts w:ascii="Arial" w:hAnsi="Arial" w:cs="Arial"/>
          <w:i/>
          <w:iCs/>
        </w:rPr>
        <w:t>Tinker</w:t>
      </w:r>
      <w:r w:rsidRPr="00F93A83">
        <w:rPr>
          <w:rFonts w:ascii="Arial" w:hAnsi="Arial" w:cs="Arial"/>
        </w:rPr>
        <w:t xml:space="preserve"> should be overruled.</w:t>
      </w:r>
    </w:p>
    <w:p w14:paraId="0290C4DE" w14:textId="61A11AD4" w:rsidR="00F93A83" w:rsidRDefault="00F93A83" w:rsidP="00F93A83">
      <w:pPr>
        <w:pStyle w:val="ListParagraph"/>
        <w:numPr>
          <w:ilvl w:val="3"/>
          <w:numId w:val="1"/>
        </w:numPr>
        <w:rPr>
          <w:rFonts w:ascii="Arial" w:hAnsi="Arial" w:cs="Arial"/>
        </w:rPr>
      </w:pPr>
      <w:r w:rsidRPr="00F93A83">
        <w:rPr>
          <w:rFonts w:ascii="Arial" w:hAnsi="Arial" w:cs="Arial"/>
        </w:rPr>
        <w:t>Most of the justices take positions between those two extremes.</w:t>
      </w:r>
    </w:p>
    <w:p w14:paraId="4D37FAE1" w14:textId="7275B398" w:rsidR="00F93A83" w:rsidRDefault="00F93A83" w:rsidP="00F93A83">
      <w:pPr>
        <w:pStyle w:val="ListParagraph"/>
        <w:numPr>
          <w:ilvl w:val="2"/>
          <w:numId w:val="1"/>
        </w:numPr>
        <w:rPr>
          <w:rFonts w:ascii="Arial" w:hAnsi="Arial" w:cs="Arial"/>
          <w:b/>
          <w:bCs/>
          <w:i/>
          <w:iCs/>
        </w:rPr>
      </w:pPr>
      <w:r w:rsidRPr="00CA6731">
        <w:rPr>
          <w:rFonts w:ascii="Arial" w:hAnsi="Arial" w:cs="Arial"/>
          <w:b/>
          <w:bCs/>
          <w:i/>
          <w:iCs/>
        </w:rPr>
        <w:t>Mahanoy Area School District v. B.L. (2021)</w:t>
      </w:r>
    </w:p>
    <w:p w14:paraId="163D7C6F" w14:textId="27CE2F3B" w:rsidR="00F93A83" w:rsidRDefault="00F93A83" w:rsidP="00F93A83">
      <w:pPr>
        <w:pStyle w:val="ListParagraph"/>
        <w:numPr>
          <w:ilvl w:val="3"/>
          <w:numId w:val="1"/>
        </w:numPr>
        <w:rPr>
          <w:rFonts w:ascii="Arial" w:hAnsi="Arial" w:cs="Arial"/>
        </w:rPr>
      </w:pPr>
      <w:r>
        <w:rPr>
          <w:rFonts w:ascii="Arial" w:hAnsi="Arial" w:cs="Arial"/>
        </w:rPr>
        <w:t>A</w:t>
      </w:r>
      <w:r w:rsidRPr="00F93A83">
        <w:rPr>
          <w:rFonts w:ascii="Arial" w:hAnsi="Arial" w:cs="Arial"/>
        </w:rPr>
        <w:t xml:space="preserve"> student used vulgar language in a social media post, made off-campus and on a weekend, to complain about not being chosen as a varsity cheerleader.</w:t>
      </w:r>
    </w:p>
    <w:p w14:paraId="31F8DD03" w14:textId="38C50848" w:rsidR="00F93A83" w:rsidRDefault="00F93A83" w:rsidP="00F93A83">
      <w:pPr>
        <w:pStyle w:val="ListParagraph"/>
        <w:numPr>
          <w:ilvl w:val="3"/>
          <w:numId w:val="1"/>
        </w:numPr>
        <w:rPr>
          <w:rFonts w:ascii="Arial" w:hAnsi="Arial" w:cs="Arial"/>
        </w:rPr>
      </w:pPr>
      <w:r w:rsidRPr="00F93A83">
        <w:rPr>
          <w:rFonts w:ascii="Arial" w:hAnsi="Arial" w:cs="Arial"/>
        </w:rPr>
        <w:t xml:space="preserve">After the school suspended her from the </w:t>
      </w:r>
      <w:r>
        <w:rPr>
          <w:rFonts w:ascii="Arial" w:hAnsi="Arial" w:cs="Arial"/>
        </w:rPr>
        <w:t>junior varsity</w:t>
      </w:r>
      <w:r w:rsidRPr="00F93A83">
        <w:rPr>
          <w:rFonts w:ascii="Arial" w:hAnsi="Arial" w:cs="Arial"/>
        </w:rPr>
        <w:t xml:space="preserve"> squad, she filed suit with her case eventually reaching the Supreme Court.</w:t>
      </w:r>
    </w:p>
    <w:p w14:paraId="72E4D1DB" w14:textId="3CC4B85F" w:rsidR="00F93A83" w:rsidRDefault="00F93A83" w:rsidP="00F93A83">
      <w:pPr>
        <w:pStyle w:val="ListParagraph"/>
        <w:numPr>
          <w:ilvl w:val="3"/>
          <w:numId w:val="1"/>
        </w:numPr>
        <w:rPr>
          <w:rFonts w:ascii="Arial" w:hAnsi="Arial" w:cs="Arial"/>
        </w:rPr>
      </w:pPr>
      <w:r w:rsidRPr="00F93A83">
        <w:rPr>
          <w:rFonts w:ascii="Arial" w:hAnsi="Arial" w:cs="Arial"/>
        </w:rPr>
        <w:t>On the one hand, the justices held that much off-campus speech is likely beyond the school’s reach</w:t>
      </w:r>
      <w:r>
        <w:rPr>
          <w:rFonts w:ascii="Arial" w:hAnsi="Arial" w:cs="Arial"/>
        </w:rPr>
        <w:t>.</w:t>
      </w:r>
    </w:p>
    <w:p w14:paraId="358FCCB4" w14:textId="6591B97F" w:rsidR="00F93A83" w:rsidRDefault="00F93A83" w:rsidP="00F93A83">
      <w:pPr>
        <w:pStyle w:val="ListParagraph"/>
        <w:numPr>
          <w:ilvl w:val="3"/>
          <w:numId w:val="1"/>
        </w:numPr>
        <w:rPr>
          <w:rFonts w:ascii="Arial" w:hAnsi="Arial" w:cs="Arial"/>
        </w:rPr>
      </w:pPr>
      <w:r w:rsidRPr="00F93A83">
        <w:rPr>
          <w:rFonts w:ascii="Arial" w:hAnsi="Arial" w:cs="Arial"/>
        </w:rPr>
        <w:t>On the other hand, the justices agreed that some off-campus behavior and speech may be subject to school regulation</w:t>
      </w:r>
      <w:r>
        <w:rPr>
          <w:rFonts w:ascii="Arial" w:hAnsi="Arial" w:cs="Arial"/>
        </w:rPr>
        <w:t>.</w:t>
      </w:r>
    </w:p>
    <w:p w14:paraId="6293B146" w14:textId="6B198D64" w:rsidR="00F93A83" w:rsidRPr="00F93A83" w:rsidRDefault="00F93A83" w:rsidP="00F93A83">
      <w:pPr>
        <w:pStyle w:val="ListParagraph"/>
        <w:numPr>
          <w:ilvl w:val="3"/>
          <w:numId w:val="1"/>
        </w:numPr>
        <w:rPr>
          <w:rFonts w:ascii="Arial" w:hAnsi="Arial" w:cs="Arial"/>
        </w:rPr>
      </w:pPr>
      <w:r w:rsidRPr="00F93A83">
        <w:rPr>
          <w:rFonts w:ascii="Arial" w:hAnsi="Arial" w:cs="Arial"/>
        </w:rPr>
        <w:t>Since there was no evidence that the student’s post had any real disruptive effects within the school, the justices held that her suspension violated her speech rights.</w:t>
      </w:r>
    </w:p>
    <w:p w14:paraId="68E9B0A1" w14:textId="45C16703" w:rsidR="00256313" w:rsidRDefault="00256313" w:rsidP="00256313">
      <w:pPr>
        <w:pStyle w:val="ListParagraph"/>
        <w:numPr>
          <w:ilvl w:val="1"/>
          <w:numId w:val="1"/>
        </w:numPr>
        <w:rPr>
          <w:rFonts w:ascii="Arial" w:hAnsi="Arial" w:cs="Arial"/>
        </w:rPr>
      </w:pPr>
      <w:r w:rsidRPr="00256313">
        <w:rPr>
          <w:rFonts w:ascii="Arial" w:hAnsi="Arial" w:cs="Arial"/>
        </w:rPr>
        <w:t>Government Speech</w:t>
      </w:r>
    </w:p>
    <w:p w14:paraId="18B571D8" w14:textId="30C8D70D"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Pleasant Grove City v. Summum (2009)</w:t>
      </w:r>
    </w:p>
    <w:p w14:paraId="4319624F" w14:textId="29D286B7" w:rsidR="00F93A83" w:rsidRDefault="00F93A83" w:rsidP="00F93A83">
      <w:pPr>
        <w:pStyle w:val="ListParagraph"/>
        <w:numPr>
          <w:ilvl w:val="3"/>
          <w:numId w:val="1"/>
        </w:numPr>
        <w:rPr>
          <w:rFonts w:ascii="Arial" w:hAnsi="Arial" w:cs="Arial"/>
        </w:rPr>
      </w:pPr>
      <w:r>
        <w:rPr>
          <w:rFonts w:ascii="Arial" w:hAnsi="Arial" w:cs="Arial"/>
        </w:rPr>
        <w:t>A</w:t>
      </w:r>
      <w:r w:rsidRPr="00F93A83">
        <w:rPr>
          <w:rFonts w:ascii="Arial" w:hAnsi="Arial" w:cs="Arial"/>
        </w:rPr>
        <w:t xml:space="preserve"> religious sect </w:t>
      </w:r>
      <w:r>
        <w:rPr>
          <w:rFonts w:ascii="Arial" w:hAnsi="Arial" w:cs="Arial"/>
        </w:rPr>
        <w:t xml:space="preserve">claimed </w:t>
      </w:r>
      <w:r w:rsidRPr="00F93A83">
        <w:rPr>
          <w:rFonts w:ascii="Arial" w:hAnsi="Arial" w:cs="Arial"/>
        </w:rPr>
        <w:t xml:space="preserve">that a municipality violated the First Amendment by refusing it permission to erect in the city park a monument </w:t>
      </w:r>
      <w:r>
        <w:rPr>
          <w:rFonts w:ascii="Arial" w:hAnsi="Arial" w:cs="Arial"/>
        </w:rPr>
        <w:t xml:space="preserve">it </w:t>
      </w:r>
      <w:r w:rsidRPr="00F93A83">
        <w:rPr>
          <w:rFonts w:ascii="Arial" w:hAnsi="Arial" w:cs="Arial"/>
        </w:rPr>
        <w:t>donated</w:t>
      </w:r>
      <w:r>
        <w:rPr>
          <w:rFonts w:ascii="Arial" w:hAnsi="Arial" w:cs="Arial"/>
        </w:rPr>
        <w:t>.</w:t>
      </w:r>
    </w:p>
    <w:p w14:paraId="2B589903" w14:textId="1C2C892B" w:rsidR="00F93A83" w:rsidRDefault="00F93A83" w:rsidP="00F93A83">
      <w:pPr>
        <w:pStyle w:val="ListParagraph"/>
        <w:numPr>
          <w:ilvl w:val="3"/>
          <w:numId w:val="1"/>
        </w:numPr>
        <w:rPr>
          <w:rFonts w:ascii="Arial" w:hAnsi="Arial" w:cs="Arial"/>
        </w:rPr>
      </w:pPr>
      <w:r w:rsidRPr="00F93A83">
        <w:rPr>
          <w:rFonts w:ascii="Arial" w:hAnsi="Arial" w:cs="Arial"/>
        </w:rPr>
        <w:t>Already erected in the park were fifteen other monuments donated by private organizations exhibiting content ranging from the Ten Commandments to a September 11 memorial</w:t>
      </w:r>
      <w:r>
        <w:rPr>
          <w:rFonts w:ascii="Arial" w:hAnsi="Arial" w:cs="Arial"/>
        </w:rPr>
        <w:t>.</w:t>
      </w:r>
    </w:p>
    <w:p w14:paraId="6AB5FD3A" w14:textId="2512F7D1" w:rsidR="00F93A83" w:rsidRDefault="00F93A83" w:rsidP="00F93A83">
      <w:pPr>
        <w:pStyle w:val="ListParagraph"/>
        <w:numPr>
          <w:ilvl w:val="3"/>
          <w:numId w:val="1"/>
        </w:numPr>
        <w:rPr>
          <w:rFonts w:ascii="Arial" w:hAnsi="Arial" w:cs="Arial"/>
        </w:rPr>
      </w:pPr>
      <w:r w:rsidRPr="00F93A83">
        <w:rPr>
          <w:rFonts w:ascii="Arial" w:hAnsi="Arial" w:cs="Arial"/>
        </w:rPr>
        <w:t>According to the organization’s argument, the city’s rejection constituted a form of viewpoint discrimination and denied the group access to a public forum open to other organizations.</w:t>
      </w:r>
    </w:p>
    <w:p w14:paraId="6C866E01" w14:textId="24788F51" w:rsidR="00F93A83" w:rsidRDefault="00F93A83" w:rsidP="00F93A83">
      <w:pPr>
        <w:pStyle w:val="ListParagraph"/>
        <w:numPr>
          <w:ilvl w:val="3"/>
          <w:numId w:val="1"/>
        </w:numPr>
        <w:rPr>
          <w:rFonts w:ascii="Arial" w:hAnsi="Arial" w:cs="Arial"/>
        </w:rPr>
      </w:pPr>
      <w:r w:rsidRPr="00F93A83">
        <w:rPr>
          <w:rFonts w:ascii="Arial" w:hAnsi="Arial" w:cs="Arial"/>
        </w:rPr>
        <w:t>The justices concluded that the city’s decision to place or not to place a monument on the public land it administered was best classified as government speech.</w:t>
      </w:r>
    </w:p>
    <w:p w14:paraId="1672B698" w14:textId="3A0E0D4B" w:rsidR="00F93A83" w:rsidRDefault="00F93A83" w:rsidP="00F93A83">
      <w:pPr>
        <w:pStyle w:val="ListParagraph"/>
        <w:numPr>
          <w:ilvl w:val="3"/>
          <w:numId w:val="1"/>
        </w:numPr>
        <w:rPr>
          <w:rFonts w:ascii="Arial" w:hAnsi="Arial" w:cs="Arial"/>
        </w:rPr>
      </w:pPr>
      <w:r w:rsidRPr="00F93A83">
        <w:rPr>
          <w:rFonts w:ascii="Arial" w:hAnsi="Arial" w:cs="Arial"/>
        </w:rPr>
        <w:t>The city was free to determine what expressive messages it wanted to display in its park.</w:t>
      </w:r>
    </w:p>
    <w:p w14:paraId="20E5AA6A" w14:textId="0E9F6AC3" w:rsidR="00F93A83" w:rsidRPr="00F93A83" w:rsidRDefault="00F93A83" w:rsidP="00F93A83">
      <w:pPr>
        <w:pStyle w:val="ListParagraph"/>
        <w:numPr>
          <w:ilvl w:val="2"/>
          <w:numId w:val="1"/>
        </w:numPr>
        <w:rPr>
          <w:rFonts w:ascii="Arial" w:hAnsi="Arial" w:cs="Arial"/>
        </w:rPr>
      </w:pPr>
      <w:r>
        <w:rPr>
          <w:rFonts w:ascii="Arial" w:hAnsi="Arial" w:cs="Arial"/>
        </w:rPr>
        <w:t xml:space="preserve">In two cases, the justices struggling </w:t>
      </w:r>
      <w:r w:rsidRPr="00F93A83">
        <w:rPr>
          <w:rFonts w:ascii="Arial" w:hAnsi="Arial" w:cs="Arial"/>
        </w:rPr>
        <w:t>to draw a clear distinction between private speech and government speech</w:t>
      </w:r>
      <w:r>
        <w:rPr>
          <w:rFonts w:ascii="Arial" w:hAnsi="Arial" w:cs="Arial"/>
        </w:rPr>
        <w:t>.</w:t>
      </w:r>
    </w:p>
    <w:p w14:paraId="4459010F" w14:textId="22C9D2EB" w:rsidR="00CA6731" w:rsidRDefault="00CA6731" w:rsidP="00F93A83">
      <w:pPr>
        <w:pStyle w:val="ListParagraph"/>
        <w:numPr>
          <w:ilvl w:val="3"/>
          <w:numId w:val="1"/>
        </w:numPr>
        <w:rPr>
          <w:rFonts w:ascii="Arial" w:hAnsi="Arial" w:cs="Arial"/>
          <w:i/>
          <w:iCs/>
        </w:rPr>
      </w:pPr>
      <w:r w:rsidRPr="00CA6731">
        <w:rPr>
          <w:rFonts w:ascii="Arial" w:hAnsi="Arial" w:cs="Arial"/>
          <w:i/>
          <w:iCs/>
        </w:rPr>
        <w:t>Walker v. Texas Division, Sons of Confederate Veterans (2015)</w:t>
      </w:r>
    </w:p>
    <w:p w14:paraId="332C16C5" w14:textId="4F627B94" w:rsidR="00F93A83" w:rsidRDefault="00F93A83" w:rsidP="00F93A83">
      <w:pPr>
        <w:pStyle w:val="ListParagraph"/>
        <w:numPr>
          <w:ilvl w:val="3"/>
          <w:numId w:val="1"/>
        </w:numPr>
        <w:rPr>
          <w:rFonts w:ascii="Arial" w:hAnsi="Arial" w:cs="Arial"/>
          <w:i/>
          <w:iCs/>
        </w:rPr>
      </w:pPr>
      <w:r>
        <w:rPr>
          <w:rFonts w:ascii="Arial" w:hAnsi="Arial" w:cs="Arial"/>
          <w:i/>
          <w:iCs/>
        </w:rPr>
        <w:t>Matal v. Tam (2017)</w:t>
      </w:r>
    </w:p>
    <w:p w14:paraId="330C31DD" w14:textId="477FF484"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Iancu v. Brunetti (2019)</w:t>
      </w:r>
    </w:p>
    <w:p w14:paraId="015FF321" w14:textId="7A217E79" w:rsidR="00F93A83" w:rsidRDefault="00F93A83" w:rsidP="00F93A83">
      <w:pPr>
        <w:pStyle w:val="ListParagraph"/>
        <w:numPr>
          <w:ilvl w:val="3"/>
          <w:numId w:val="1"/>
        </w:numPr>
        <w:rPr>
          <w:rFonts w:ascii="Arial" w:hAnsi="Arial" w:cs="Arial"/>
        </w:rPr>
      </w:pPr>
      <w:r w:rsidRPr="00F93A83">
        <w:rPr>
          <w:rFonts w:ascii="Arial" w:hAnsi="Arial" w:cs="Arial"/>
        </w:rPr>
        <w:t xml:space="preserve">The founder of a clothing brand called FUCT—the letters were to be read sequentially, not as a single word—was denied a trademark because of </w:t>
      </w:r>
      <w:r w:rsidR="003437A4">
        <w:rPr>
          <w:rFonts w:ascii="Arial" w:hAnsi="Arial" w:cs="Arial"/>
        </w:rPr>
        <w:t>a</w:t>
      </w:r>
      <w:r w:rsidRPr="00F93A83">
        <w:rPr>
          <w:rFonts w:ascii="Arial" w:hAnsi="Arial" w:cs="Arial"/>
        </w:rPr>
        <w:t xml:space="preserve"> provision of the law</w:t>
      </w:r>
      <w:r w:rsidR="003437A4">
        <w:rPr>
          <w:rFonts w:ascii="Arial" w:hAnsi="Arial" w:cs="Arial"/>
        </w:rPr>
        <w:t xml:space="preserve"> </w:t>
      </w:r>
      <w:r w:rsidRPr="00F93A83">
        <w:rPr>
          <w:rFonts w:ascii="Arial" w:hAnsi="Arial" w:cs="Arial"/>
        </w:rPr>
        <w:t>that forbade trademarks deemed “immoral” or “scandalous.”</w:t>
      </w:r>
    </w:p>
    <w:p w14:paraId="3C8B0586" w14:textId="4C044D21" w:rsidR="003437A4" w:rsidRPr="00F93A83" w:rsidRDefault="003437A4" w:rsidP="00F93A83">
      <w:pPr>
        <w:pStyle w:val="ListParagraph"/>
        <w:numPr>
          <w:ilvl w:val="3"/>
          <w:numId w:val="1"/>
        </w:numPr>
        <w:rPr>
          <w:rFonts w:ascii="Arial" w:hAnsi="Arial" w:cs="Arial"/>
        </w:rPr>
      </w:pPr>
      <w:r w:rsidRPr="003437A4">
        <w:rPr>
          <w:rFonts w:ascii="Arial" w:hAnsi="Arial" w:cs="Arial"/>
        </w:rPr>
        <w:t>The Court invalidated this part of the law, finding that it discriminated on the basis of viewpoint.</w:t>
      </w:r>
    </w:p>
    <w:p w14:paraId="547FA9F6" w14:textId="56C66C62" w:rsidR="00256313" w:rsidRDefault="00256313" w:rsidP="00256313">
      <w:pPr>
        <w:pStyle w:val="ListParagraph"/>
        <w:numPr>
          <w:ilvl w:val="1"/>
          <w:numId w:val="1"/>
        </w:numPr>
        <w:rPr>
          <w:rFonts w:ascii="Arial" w:hAnsi="Arial" w:cs="Arial"/>
        </w:rPr>
      </w:pPr>
      <w:r w:rsidRPr="00256313">
        <w:rPr>
          <w:rFonts w:ascii="Arial" w:hAnsi="Arial" w:cs="Arial"/>
        </w:rPr>
        <w:t>Commercial Speech</w:t>
      </w:r>
    </w:p>
    <w:p w14:paraId="5E7FB430" w14:textId="7A8A1D93" w:rsidR="00CA6731" w:rsidRDefault="00CA6731" w:rsidP="00CA6731">
      <w:pPr>
        <w:pStyle w:val="ListParagraph"/>
        <w:numPr>
          <w:ilvl w:val="2"/>
          <w:numId w:val="1"/>
        </w:numPr>
        <w:rPr>
          <w:rFonts w:ascii="Arial" w:hAnsi="Arial" w:cs="Arial"/>
          <w:i/>
          <w:iCs/>
        </w:rPr>
      </w:pPr>
      <w:r w:rsidRPr="00CA6731">
        <w:rPr>
          <w:rFonts w:ascii="Arial" w:hAnsi="Arial" w:cs="Arial"/>
          <w:i/>
          <w:iCs/>
        </w:rPr>
        <w:t>Valentine v. Chrestensen (1942)</w:t>
      </w:r>
    </w:p>
    <w:p w14:paraId="3954DA2F" w14:textId="28A38807" w:rsidR="003437A4" w:rsidRPr="003437A4" w:rsidRDefault="003437A4" w:rsidP="003437A4">
      <w:pPr>
        <w:pStyle w:val="ListParagraph"/>
        <w:numPr>
          <w:ilvl w:val="3"/>
          <w:numId w:val="1"/>
        </w:numPr>
        <w:rPr>
          <w:rFonts w:ascii="Arial" w:hAnsi="Arial" w:cs="Arial"/>
        </w:rPr>
      </w:pPr>
      <w:r>
        <w:rPr>
          <w:rFonts w:ascii="Arial" w:hAnsi="Arial" w:cs="Arial"/>
        </w:rPr>
        <w:t>T</w:t>
      </w:r>
      <w:r w:rsidRPr="003437A4">
        <w:rPr>
          <w:rFonts w:ascii="Arial" w:hAnsi="Arial" w:cs="Arial"/>
        </w:rPr>
        <w:t>he Court upheld a law banning the distribution of handbills that advertised commercial goods and services</w:t>
      </w:r>
      <w:r>
        <w:rPr>
          <w:rFonts w:ascii="Arial" w:hAnsi="Arial" w:cs="Arial"/>
        </w:rPr>
        <w:t>.</w:t>
      </w:r>
    </w:p>
    <w:p w14:paraId="4E286CBA" w14:textId="1957613A"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Bigelow v. Virginia (1975)</w:t>
      </w:r>
    </w:p>
    <w:p w14:paraId="0FFDEC03" w14:textId="5F2FBFDB" w:rsidR="003437A4" w:rsidRDefault="003437A4" w:rsidP="003437A4">
      <w:pPr>
        <w:pStyle w:val="ListParagraph"/>
        <w:numPr>
          <w:ilvl w:val="3"/>
          <w:numId w:val="1"/>
        </w:numPr>
        <w:rPr>
          <w:rFonts w:ascii="Arial" w:hAnsi="Arial" w:cs="Arial"/>
        </w:rPr>
      </w:pPr>
      <w:r w:rsidRPr="003437A4">
        <w:rPr>
          <w:rFonts w:ascii="Arial" w:hAnsi="Arial" w:cs="Arial"/>
        </w:rPr>
        <w:t>Jeffrey C. Bigelow, managing editor a Charlottesville newspaper, approved an advertisement promoting a service that made arrangements for women in Virginia (where abortions were illegal) to obtain abortions in New York (where abortions were permitted).</w:t>
      </w:r>
    </w:p>
    <w:p w14:paraId="42FC298A" w14:textId="3AFECE9B" w:rsidR="003437A4" w:rsidRDefault="003437A4" w:rsidP="003437A4">
      <w:pPr>
        <w:pStyle w:val="ListParagraph"/>
        <w:numPr>
          <w:ilvl w:val="3"/>
          <w:numId w:val="1"/>
        </w:numPr>
        <w:rPr>
          <w:rFonts w:ascii="Arial" w:hAnsi="Arial" w:cs="Arial"/>
        </w:rPr>
      </w:pPr>
      <w:r w:rsidRPr="003437A4">
        <w:rPr>
          <w:rFonts w:ascii="Arial" w:hAnsi="Arial" w:cs="Arial"/>
        </w:rPr>
        <w:t>The state of Virginia charged Bigelow with violating an 1878 state law</w:t>
      </w:r>
      <w:r>
        <w:rPr>
          <w:rFonts w:ascii="Arial" w:hAnsi="Arial" w:cs="Arial"/>
        </w:rPr>
        <w:t>.</w:t>
      </w:r>
    </w:p>
    <w:p w14:paraId="090876A6" w14:textId="6BDACF2D" w:rsidR="003437A4" w:rsidRPr="003437A4" w:rsidRDefault="003437A4" w:rsidP="003437A4">
      <w:pPr>
        <w:pStyle w:val="ListParagraph"/>
        <w:numPr>
          <w:ilvl w:val="3"/>
          <w:numId w:val="1"/>
        </w:numPr>
        <w:rPr>
          <w:rFonts w:ascii="Arial" w:hAnsi="Arial" w:cs="Arial"/>
        </w:rPr>
      </w:pPr>
      <w:r w:rsidRPr="003437A4">
        <w:rPr>
          <w:rFonts w:ascii="Arial" w:hAnsi="Arial" w:cs="Arial"/>
        </w:rPr>
        <w:t>The U.S. Supreme Court reversed Bigelow’s conviction</w:t>
      </w:r>
      <w:r>
        <w:rPr>
          <w:rFonts w:ascii="Arial" w:hAnsi="Arial" w:cs="Arial"/>
        </w:rPr>
        <w:t>, explaining “</w:t>
      </w:r>
      <w:r w:rsidRPr="003437A4">
        <w:rPr>
          <w:rFonts w:ascii="Arial" w:hAnsi="Arial" w:cs="Arial"/>
        </w:rPr>
        <w:t>The fact that the particular advertisement . . . had commercial aspects . . . did not negate all First Amendment guarantees</w:t>
      </w:r>
      <w:r>
        <w:rPr>
          <w:rFonts w:ascii="Arial" w:hAnsi="Arial" w:cs="Arial"/>
        </w:rPr>
        <w:t>.”</w:t>
      </w:r>
    </w:p>
    <w:p w14:paraId="147588FA" w14:textId="1BA38DC0" w:rsidR="00CA6731" w:rsidRDefault="00CA6731" w:rsidP="00CA6731">
      <w:pPr>
        <w:pStyle w:val="ListParagraph"/>
        <w:numPr>
          <w:ilvl w:val="2"/>
          <w:numId w:val="1"/>
        </w:numPr>
        <w:rPr>
          <w:rFonts w:ascii="Arial" w:hAnsi="Arial" w:cs="Arial"/>
          <w:b/>
          <w:bCs/>
          <w:i/>
          <w:iCs/>
        </w:rPr>
      </w:pPr>
      <w:r w:rsidRPr="00CA6731">
        <w:rPr>
          <w:rFonts w:ascii="Arial" w:hAnsi="Arial" w:cs="Arial"/>
          <w:b/>
          <w:bCs/>
          <w:i/>
          <w:iCs/>
        </w:rPr>
        <w:t>Virginia State Board of Pharmacy v. Virginia Citizens Consumer Council (1976)</w:t>
      </w:r>
    </w:p>
    <w:p w14:paraId="019CBEBF" w14:textId="2D497286" w:rsidR="003437A4" w:rsidRDefault="003437A4" w:rsidP="003437A4">
      <w:pPr>
        <w:pStyle w:val="ListParagraph"/>
        <w:numPr>
          <w:ilvl w:val="3"/>
          <w:numId w:val="1"/>
        </w:numPr>
        <w:rPr>
          <w:rFonts w:ascii="Arial" w:hAnsi="Arial" w:cs="Arial"/>
        </w:rPr>
      </w:pPr>
      <w:r w:rsidRPr="003437A4">
        <w:rPr>
          <w:rFonts w:ascii="Arial" w:hAnsi="Arial" w:cs="Arial"/>
        </w:rPr>
        <w:t>This case centered on a constitutional challenge to a Virginia regulation making it unlawful for a pharmacy to advertise the prices of its prescription medications.</w:t>
      </w:r>
    </w:p>
    <w:p w14:paraId="36897BE2" w14:textId="6D709D7D" w:rsidR="00E455B4" w:rsidRDefault="00E455B4" w:rsidP="003437A4">
      <w:pPr>
        <w:pStyle w:val="ListParagraph"/>
        <w:numPr>
          <w:ilvl w:val="3"/>
          <w:numId w:val="1"/>
        </w:numPr>
        <w:rPr>
          <w:rFonts w:ascii="Arial" w:hAnsi="Arial" w:cs="Arial"/>
        </w:rPr>
      </w:pPr>
      <w:r w:rsidRPr="00E455B4">
        <w:rPr>
          <w:rFonts w:ascii="Arial" w:hAnsi="Arial" w:cs="Arial"/>
        </w:rPr>
        <w:t>The state justified its regulation as protecting the public from deceptive advertising and maintaining the professionalism of the state’s pharmacists.</w:t>
      </w:r>
    </w:p>
    <w:p w14:paraId="2D11268A" w14:textId="10337CC1" w:rsidR="00E455B4" w:rsidRPr="003437A4" w:rsidRDefault="00E455B4" w:rsidP="003437A4">
      <w:pPr>
        <w:pStyle w:val="ListParagraph"/>
        <w:numPr>
          <w:ilvl w:val="3"/>
          <w:numId w:val="1"/>
        </w:numPr>
        <w:rPr>
          <w:rFonts w:ascii="Arial" w:hAnsi="Arial" w:cs="Arial"/>
        </w:rPr>
      </w:pPr>
      <w:r w:rsidRPr="00E455B4">
        <w:rPr>
          <w:rFonts w:ascii="Arial" w:hAnsi="Arial" w:cs="Arial"/>
        </w:rPr>
        <w:t xml:space="preserve">Not only did the Court strike down the Virginia regulation as inconsistent with the First Amendment; it also overruled </w:t>
      </w:r>
      <w:r w:rsidRPr="00E455B4">
        <w:rPr>
          <w:rFonts w:ascii="Arial" w:hAnsi="Arial" w:cs="Arial"/>
          <w:i/>
          <w:iCs/>
        </w:rPr>
        <w:t>Valentine v. Chrestensen</w:t>
      </w:r>
      <w:r w:rsidRPr="00E455B4">
        <w:rPr>
          <w:rFonts w:ascii="Arial" w:hAnsi="Arial" w:cs="Arial"/>
        </w:rPr>
        <w:t>.</w:t>
      </w:r>
    </w:p>
    <w:p w14:paraId="25DD06A6" w14:textId="23734E3A" w:rsidR="00CA6731" w:rsidRDefault="00CA6731" w:rsidP="00CA6731">
      <w:pPr>
        <w:pStyle w:val="ListParagraph"/>
        <w:numPr>
          <w:ilvl w:val="2"/>
          <w:numId w:val="1"/>
        </w:numPr>
        <w:rPr>
          <w:rFonts w:ascii="Arial" w:hAnsi="Arial" w:cs="Arial"/>
          <w:i/>
          <w:iCs/>
        </w:rPr>
      </w:pPr>
      <w:r w:rsidRPr="00CA6731">
        <w:rPr>
          <w:rFonts w:ascii="Arial" w:hAnsi="Arial" w:cs="Arial"/>
          <w:i/>
          <w:iCs/>
        </w:rPr>
        <w:t>Central Hudson Gas and Electric Corporation v. Public Service Commission of New York (1980)</w:t>
      </w:r>
    </w:p>
    <w:p w14:paraId="6B1F549B" w14:textId="3757AA88" w:rsidR="00E455B4" w:rsidRDefault="00E455B4" w:rsidP="00E455B4">
      <w:pPr>
        <w:pStyle w:val="ListParagraph"/>
        <w:numPr>
          <w:ilvl w:val="3"/>
          <w:numId w:val="1"/>
        </w:numPr>
        <w:rPr>
          <w:rFonts w:ascii="Arial" w:hAnsi="Arial" w:cs="Arial"/>
        </w:rPr>
      </w:pPr>
      <w:r w:rsidRPr="00E455B4">
        <w:rPr>
          <w:rFonts w:ascii="Arial" w:hAnsi="Arial" w:cs="Arial"/>
        </w:rPr>
        <w:t>This was a dispute over an energy conservation law prohibiting utility companies from advertising to promote the sale of their products.</w:t>
      </w:r>
    </w:p>
    <w:p w14:paraId="6F6A09EE" w14:textId="3BBEE1A9" w:rsidR="00E455B4" w:rsidRDefault="00E455B4" w:rsidP="00E455B4">
      <w:pPr>
        <w:pStyle w:val="ListParagraph"/>
        <w:numPr>
          <w:ilvl w:val="3"/>
          <w:numId w:val="1"/>
        </w:numPr>
        <w:rPr>
          <w:rFonts w:ascii="Arial" w:hAnsi="Arial" w:cs="Arial"/>
        </w:rPr>
      </w:pPr>
      <w:r w:rsidRPr="00E455B4">
        <w:rPr>
          <w:rFonts w:ascii="Arial" w:hAnsi="Arial" w:cs="Arial"/>
        </w:rPr>
        <w:t>If the commercial expression concerns a lawful activity and is not misleading, it merits First Amendment protection.</w:t>
      </w:r>
    </w:p>
    <w:p w14:paraId="4701BF78" w14:textId="738085E8" w:rsidR="00E455B4" w:rsidRPr="00E455B4" w:rsidRDefault="00E455B4" w:rsidP="00E455B4">
      <w:pPr>
        <w:pStyle w:val="ListParagraph"/>
        <w:numPr>
          <w:ilvl w:val="3"/>
          <w:numId w:val="1"/>
        </w:numPr>
        <w:rPr>
          <w:rFonts w:ascii="Arial" w:hAnsi="Arial" w:cs="Arial"/>
        </w:rPr>
      </w:pPr>
      <w:r w:rsidRPr="00E455B4">
        <w:rPr>
          <w:rFonts w:ascii="Arial" w:hAnsi="Arial" w:cs="Arial"/>
        </w:rPr>
        <w:t>The state may regulate that expression if the regulation serves a substantial government interest, directly advances that interest, and is no more extensive than necessary to achieve it.</w:t>
      </w:r>
    </w:p>
    <w:p w14:paraId="2C803359" w14:textId="37BB5A01" w:rsidR="00256313" w:rsidRDefault="00256313" w:rsidP="00256313">
      <w:pPr>
        <w:pStyle w:val="ListParagraph"/>
        <w:numPr>
          <w:ilvl w:val="0"/>
          <w:numId w:val="1"/>
        </w:numPr>
        <w:rPr>
          <w:rFonts w:ascii="Arial" w:hAnsi="Arial" w:cs="Arial"/>
        </w:rPr>
      </w:pPr>
      <w:r w:rsidRPr="00256313">
        <w:rPr>
          <w:rFonts w:ascii="Arial" w:hAnsi="Arial" w:cs="Arial"/>
        </w:rPr>
        <w:t>Is the Regulation Content Neutral or Content Based?</w:t>
      </w:r>
    </w:p>
    <w:p w14:paraId="3931BBAE" w14:textId="4BCC0830" w:rsidR="00256313" w:rsidRDefault="00256313" w:rsidP="00256313">
      <w:pPr>
        <w:pStyle w:val="ListParagraph"/>
        <w:numPr>
          <w:ilvl w:val="1"/>
          <w:numId w:val="1"/>
        </w:numPr>
        <w:rPr>
          <w:rFonts w:ascii="Arial" w:hAnsi="Arial" w:cs="Arial"/>
        </w:rPr>
      </w:pPr>
      <w:r w:rsidRPr="00256313">
        <w:rPr>
          <w:rFonts w:ascii="Arial" w:hAnsi="Arial" w:cs="Arial"/>
        </w:rPr>
        <w:t>Content-Neutral Regulations</w:t>
      </w:r>
    </w:p>
    <w:p w14:paraId="3A2F099E" w14:textId="4CDDE966" w:rsidR="00E455B4" w:rsidRDefault="00E455B4" w:rsidP="00E455B4">
      <w:pPr>
        <w:pStyle w:val="ListParagraph"/>
        <w:numPr>
          <w:ilvl w:val="2"/>
          <w:numId w:val="1"/>
        </w:numPr>
        <w:rPr>
          <w:rFonts w:ascii="Arial" w:hAnsi="Arial" w:cs="Arial"/>
        </w:rPr>
      </w:pPr>
      <w:r>
        <w:rPr>
          <w:rFonts w:ascii="Arial" w:hAnsi="Arial" w:cs="Arial"/>
        </w:rPr>
        <w:t xml:space="preserve">The </w:t>
      </w:r>
      <w:r w:rsidRPr="00E455B4">
        <w:rPr>
          <w:rFonts w:ascii="Arial" w:hAnsi="Arial" w:cs="Arial"/>
        </w:rPr>
        <w:t xml:space="preserve">most common </w:t>
      </w:r>
      <w:r>
        <w:rPr>
          <w:rFonts w:ascii="Arial" w:hAnsi="Arial" w:cs="Arial"/>
        </w:rPr>
        <w:t xml:space="preserve">forms </w:t>
      </w:r>
      <w:r w:rsidRPr="00E455B4">
        <w:rPr>
          <w:rFonts w:ascii="Arial" w:hAnsi="Arial" w:cs="Arial"/>
        </w:rPr>
        <w:t>are restrictions on the time (when the speech occurs), place (where the speech occurs), and manner (how the speech occurs).</w:t>
      </w:r>
    </w:p>
    <w:p w14:paraId="08D05D52" w14:textId="059ACB8E" w:rsidR="00E455B4" w:rsidRDefault="00E455B4" w:rsidP="00E455B4">
      <w:pPr>
        <w:pStyle w:val="ListParagraph"/>
        <w:numPr>
          <w:ilvl w:val="2"/>
          <w:numId w:val="1"/>
        </w:numPr>
        <w:rPr>
          <w:rFonts w:ascii="Arial" w:hAnsi="Arial" w:cs="Arial"/>
        </w:rPr>
      </w:pPr>
      <w:r>
        <w:rPr>
          <w:rFonts w:ascii="Arial" w:hAnsi="Arial" w:cs="Arial"/>
        </w:rPr>
        <w:t>T</w:t>
      </w:r>
      <w:r w:rsidRPr="00E455B4">
        <w:rPr>
          <w:rFonts w:ascii="Arial" w:hAnsi="Arial" w:cs="Arial"/>
        </w:rPr>
        <w:t>he Court has identif</w:t>
      </w:r>
      <w:r>
        <w:rPr>
          <w:rFonts w:ascii="Arial" w:hAnsi="Arial" w:cs="Arial"/>
        </w:rPr>
        <w:t>ied</w:t>
      </w:r>
      <w:r w:rsidRPr="00E455B4">
        <w:rPr>
          <w:rFonts w:ascii="Arial" w:hAnsi="Arial" w:cs="Arial"/>
        </w:rPr>
        <w:t xml:space="preserve"> four categories of government-controlled places</w:t>
      </w:r>
      <w:r>
        <w:rPr>
          <w:rFonts w:ascii="Arial" w:hAnsi="Arial" w:cs="Arial"/>
        </w:rPr>
        <w:t>.</w:t>
      </w:r>
    </w:p>
    <w:p w14:paraId="23150061" w14:textId="74605B35" w:rsidR="00E455B4" w:rsidRDefault="00E455B4" w:rsidP="00E455B4">
      <w:pPr>
        <w:pStyle w:val="ListParagraph"/>
        <w:numPr>
          <w:ilvl w:val="3"/>
          <w:numId w:val="1"/>
        </w:numPr>
        <w:rPr>
          <w:rFonts w:ascii="Arial" w:hAnsi="Arial" w:cs="Arial"/>
        </w:rPr>
      </w:pPr>
      <w:r>
        <w:rPr>
          <w:rFonts w:ascii="Arial" w:hAnsi="Arial" w:cs="Arial"/>
        </w:rPr>
        <w:t>T</w:t>
      </w:r>
      <w:r w:rsidRPr="00E455B4">
        <w:rPr>
          <w:rFonts w:ascii="Arial" w:hAnsi="Arial" w:cs="Arial"/>
        </w:rPr>
        <w:t>raditional public forum</w:t>
      </w:r>
      <w:r>
        <w:rPr>
          <w:rFonts w:ascii="Arial" w:hAnsi="Arial" w:cs="Arial"/>
        </w:rPr>
        <w:t xml:space="preserve">s are government property </w:t>
      </w:r>
      <w:r w:rsidRPr="00E455B4">
        <w:rPr>
          <w:rFonts w:ascii="Arial" w:hAnsi="Arial" w:cs="Arial"/>
        </w:rPr>
        <w:t>where the public freely congregates and traditionally exchanges views</w:t>
      </w:r>
      <w:r>
        <w:rPr>
          <w:rFonts w:ascii="Arial" w:hAnsi="Arial" w:cs="Arial"/>
        </w:rPr>
        <w:t>.</w:t>
      </w:r>
    </w:p>
    <w:p w14:paraId="70F26CBD" w14:textId="0DBE336A" w:rsidR="00E455B4" w:rsidRDefault="00E455B4" w:rsidP="00E455B4">
      <w:pPr>
        <w:pStyle w:val="ListParagraph"/>
        <w:numPr>
          <w:ilvl w:val="3"/>
          <w:numId w:val="1"/>
        </w:numPr>
        <w:rPr>
          <w:rFonts w:ascii="Arial" w:hAnsi="Arial" w:cs="Arial"/>
        </w:rPr>
      </w:pPr>
      <w:r>
        <w:rPr>
          <w:rFonts w:ascii="Arial" w:hAnsi="Arial" w:cs="Arial"/>
        </w:rPr>
        <w:t xml:space="preserve">Designated public forums are </w:t>
      </w:r>
      <w:r w:rsidRPr="00E455B4">
        <w:rPr>
          <w:rFonts w:ascii="Arial" w:hAnsi="Arial" w:cs="Arial"/>
        </w:rPr>
        <w:t xml:space="preserve">government property that has not traditionally been regarded as a public forum </w:t>
      </w:r>
      <w:r>
        <w:rPr>
          <w:rFonts w:ascii="Arial" w:hAnsi="Arial" w:cs="Arial"/>
        </w:rPr>
        <w:t>but which is</w:t>
      </w:r>
      <w:r w:rsidRPr="00E455B4">
        <w:rPr>
          <w:rFonts w:ascii="Arial" w:hAnsi="Arial" w:cs="Arial"/>
        </w:rPr>
        <w:t xml:space="preserve"> intentionally opened up for that purpose</w:t>
      </w:r>
      <w:r>
        <w:rPr>
          <w:rFonts w:ascii="Arial" w:hAnsi="Arial" w:cs="Arial"/>
        </w:rPr>
        <w:t>.</w:t>
      </w:r>
    </w:p>
    <w:p w14:paraId="73963966" w14:textId="62E03B0A" w:rsidR="00E455B4" w:rsidRDefault="00E455B4" w:rsidP="00E455B4">
      <w:pPr>
        <w:pStyle w:val="ListParagraph"/>
        <w:numPr>
          <w:ilvl w:val="3"/>
          <w:numId w:val="1"/>
        </w:numPr>
        <w:rPr>
          <w:rFonts w:ascii="Arial" w:hAnsi="Arial" w:cs="Arial"/>
        </w:rPr>
      </w:pPr>
      <w:r>
        <w:rPr>
          <w:rFonts w:ascii="Arial" w:hAnsi="Arial" w:cs="Arial"/>
        </w:rPr>
        <w:t xml:space="preserve">Limited public forums are </w:t>
      </w:r>
      <w:r w:rsidRPr="00E455B4">
        <w:rPr>
          <w:rFonts w:ascii="Arial" w:hAnsi="Arial" w:cs="Arial"/>
        </w:rPr>
        <w:t>places that the government has established for a specific purpose</w:t>
      </w:r>
      <w:r>
        <w:rPr>
          <w:rFonts w:ascii="Arial" w:hAnsi="Arial" w:cs="Arial"/>
        </w:rPr>
        <w:t>.</w:t>
      </w:r>
    </w:p>
    <w:p w14:paraId="470E0EC1" w14:textId="2598AE6E" w:rsidR="00E455B4" w:rsidRDefault="00E455B4" w:rsidP="00E455B4">
      <w:pPr>
        <w:pStyle w:val="ListParagraph"/>
        <w:numPr>
          <w:ilvl w:val="3"/>
          <w:numId w:val="1"/>
        </w:numPr>
        <w:rPr>
          <w:rFonts w:ascii="Arial" w:hAnsi="Arial" w:cs="Arial"/>
        </w:rPr>
      </w:pPr>
      <w:r>
        <w:rPr>
          <w:rFonts w:ascii="Arial" w:hAnsi="Arial" w:cs="Arial"/>
        </w:rPr>
        <w:t xml:space="preserve">Nonpublic forums are </w:t>
      </w:r>
      <w:r w:rsidRPr="00E455B4">
        <w:rPr>
          <w:rFonts w:ascii="Arial" w:hAnsi="Arial" w:cs="Arial"/>
        </w:rPr>
        <w:t>government facilities that traditionally have not been locations for public discourse</w:t>
      </w:r>
      <w:r>
        <w:rPr>
          <w:rFonts w:ascii="Arial" w:hAnsi="Arial" w:cs="Arial"/>
        </w:rPr>
        <w:t xml:space="preserve"> and </w:t>
      </w:r>
      <w:r w:rsidRPr="00E455B4">
        <w:rPr>
          <w:rFonts w:ascii="Arial" w:hAnsi="Arial" w:cs="Arial"/>
        </w:rPr>
        <w:t>private property where the owner has not given consent</w:t>
      </w:r>
      <w:r>
        <w:rPr>
          <w:rFonts w:ascii="Arial" w:hAnsi="Arial" w:cs="Arial"/>
        </w:rPr>
        <w:t>.</w:t>
      </w:r>
    </w:p>
    <w:p w14:paraId="101857B1" w14:textId="30F95A85" w:rsidR="00E455B4" w:rsidRDefault="00E455B4" w:rsidP="00E455B4">
      <w:pPr>
        <w:pStyle w:val="ListParagraph"/>
        <w:numPr>
          <w:ilvl w:val="2"/>
          <w:numId w:val="1"/>
        </w:numPr>
        <w:rPr>
          <w:rFonts w:ascii="Arial" w:hAnsi="Arial" w:cs="Arial"/>
        </w:rPr>
      </w:pPr>
      <w:r>
        <w:rPr>
          <w:rFonts w:ascii="Arial" w:hAnsi="Arial" w:cs="Arial"/>
        </w:rPr>
        <w:t xml:space="preserve">Assuming </w:t>
      </w:r>
      <w:r w:rsidRPr="00E455B4">
        <w:rPr>
          <w:rFonts w:ascii="Arial" w:hAnsi="Arial" w:cs="Arial"/>
        </w:rPr>
        <w:t>regulation on the place of the speech is content neutral, the Court subjects the first two categories to intermediate scrutiny</w:t>
      </w:r>
      <w:r>
        <w:rPr>
          <w:rFonts w:ascii="Arial" w:hAnsi="Arial" w:cs="Arial"/>
        </w:rPr>
        <w:t>.</w:t>
      </w:r>
    </w:p>
    <w:p w14:paraId="7685C2A8" w14:textId="6FDEF9D6" w:rsidR="00CA6731" w:rsidRDefault="00CA6731" w:rsidP="00CA6731">
      <w:pPr>
        <w:pStyle w:val="ListParagraph"/>
        <w:numPr>
          <w:ilvl w:val="2"/>
          <w:numId w:val="1"/>
        </w:numPr>
        <w:rPr>
          <w:rFonts w:ascii="Arial" w:hAnsi="Arial" w:cs="Arial"/>
          <w:i/>
          <w:iCs/>
        </w:rPr>
      </w:pPr>
      <w:r w:rsidRPr="00CA6731">
        <w:rPr>
          <w:rFonts w:ascii="Arial" w:hAnsi="Arial" w:cs="Arial"/>
          <w:i/>
          <w:iCs/>
        </w:rPr>
        <w:t>Heffron v. International Society for Krishna Consciousness (1981)</w:t>
      </w:r>
    </w:p>
    <w:p w14:paraId="0C25D508" w14:textId="0C0F0929" w:rsidR="00E455B4" w:rsidRDefault="00E455B4" w:rsidP="00E455B4">
      <w:pPr>
        <w:pStyle w:val="ListParagraph"/>
        <w:numPr>
          <w:ilvl w:val="3"/>
          <w:numId w:val="1"/>
        </w:numPr>
        <w:rPr>
          <w:rFonts w:ascii="Arial" w:hAnsi="Arial" w:cs="Arial"/>
        </w:rPr>
      </w:pPr>
      <w:r>
        <w:rPr>
          <w:rFonts w:ascii="Arial" w:hAnsi="Arial" w:cs="Arial"/>
        </w:rPr>
        <w:t>T</w:t>
      </w:r>
      <w:r w:rsidRPr="00E455B4">
        <w:rPr>
          <w:rFonts w:ascii="Arial" w:hAnsi="Arial" w:cs="Arial"/>
        </w:rPr>
        <w:t>he justices considered a Minnesota rule that all groups desiring “to sell, exhibit or distribute materials” during its annual state fair, a public forum, do so only from rental booths on the fairgrounds</w:t>
      </w:r>
      <w:r>
        <w:rPr>
          <w:rFonts w:ascii="Arial" w:hAnsi="Arial" w:cs="Arial"/>
        </w:rPr>
        <w:t>.</w:t>
      </w:r>
    </w:p>
    <w:p w14:paraId="264BCB56" w14:textId="1E13E3B2" w:rsidR="00E455B4" w:rsidRDefault="00E455B4" w:rsidP="00E455B4">
      <w:pPr>
        <w:pStyle w:val="ListParagraph"/>
        <w:numPr>
          <w:ilvl w:val="3"/>
          <w:numId w:val="1"/>
        </w:numPr>
        <w:rPr>
          <w:rFonts w:ascii="Arial" w:hAnsi="Arial" w:cs="Arial"/>
        </w:rPr>
      </w:pPr>
      <w:r>
        <w:rPr>
          <w:rFonts w:ascii="Arial" w:hAnsi="Arial" w:cs="Arial"/>
        </w:rPr>
        <w:t>The Court found this role to be content-neutral.</w:t>
      </w:r>
    </w:p>
    <w:p w14:paraId="05039C5C" w14:textId="1F62A474" w:rsidR="00E455B4" w:rsidRPr="00E455B4" w:rsidRDefault="00E455B4" w:rsidP="00E455B4">
      <w:pPr>
        <w:pStyle w:val="ListParagraph"/>
        <w:numPr>
          <w:ilvl w:val="3"/>
          <w:numId w:val="1"/>
        </w:numPr>
        <w:rPr>
          <w:rFonts w:ascii="Arial" w:hAnsi="Arial" w:cs="Arial"/>
        </w:rPr>
      </w:pPr>
      <w:r>
        <w:rPr>
          <w:rFonts w:ascii="Arial" w:hAnsi="Arial" w:cs="Arial"/>
        </w:rPr>
        <w:t xml:space="preserve">The Court held that </w:t>
      </w:r>
      <w:r w:rsidRPr="00E455B4">
        <w:rPr>
          <w:rFonts w:ascii="Arial" w:hAnsi="Arial" w:cs="Arial"/>
        </w:rPr>
        <w:t>the state’s interest in the “orderly movement and control” of the crowd was sufficient to justify the rule</w:t>
      </w:r>
      <w:r>
        <w:rPr>
          <w:rFonts w:ascii="Arial" w:hAnsi="Arial" w:cs="Arial"/>
        </w:rPr>
        <w:t>.</w:t>
      </w:r>
    </w:p>
    <w:p w14:paraId="0105F25B" w14:textId="28EE997C" w:rsidR="00256313" w:rsidRDefault="00256313" w:rsidP="00256313">
      <w:pPr>
        <w:pStyle w:val="ListParagraph"/>
        <w:numPr>
          <w:ilvl w:val="1"/>
          <w:numId w:val="1"/>
        </w:numPr>
        <w:rPr>
          <w:rFonts w:ascii="Arial" w:hAnsi="Arial" w:cs="Arial"/>
        </w:rPr>
      </w:pPr>
      <w:r w:rsidRPr="00256313">
        <w:rPr>
          <w:rFonts w:ascii="Arial" w:hAnsi="Arial" w:cs="Arial"/>
        </w:rPr>
        <w:t>Content-Based Regulations</w:t>
      </w:r>
    </w:p>
    <w:p w14:paraId="12FFC9C0" w14:textId="77777777" w:rsidR="00B67417" w:rsidRDefault="00B67417" w:rsidP="00B67417">
      <w:pPr>
        <w:pStyle w:val="ListParagraph"/>
        <w:numPr>
          <w:ilvl w:val="2"/>
          <w:numId w:val="1"/>
        </w:numPr>
        <w:rPr>
          <w:rFonts w:ascii="Arial" w:hAnsi="Arial" w:cs="Arial"/>
          <w:i/>
          <w:iCs/>
        </w:rPr>
      </w:pPr>
      <w:r w:rsidRPr="00CA6731">
        <w:rPr>
          <w:rFonts w:ascii="Arial" w:hAnsi="Arial" w:cs="Arial"/>
          <w:i/>
          <w:iCs/>
        </w:rPr>
        <w:t>Boos v. Barry (1988)</w:t>
      </w:r>
    </w:p>
    <w:p w14:paraId="4CA0CB02" w14:textId="6E2A0CAC" w:rsidR="000F7027" w:rsidRDefault="000F7027" w:rsidP="000F7027">
      <w:pPr>
        <w:pStyle w:val="ListParagraph"/>
        <w:numPr>
          <w:ilvl w:val="3"/>
          <w:numId w:val="1"/>
        </w:numPr>
        <w:rPr>
          <w:rFonts w:ascii="Arial" w:hAnsi="Arial" w:cs="Arial"/>
        </w:rPr>
      </w:pPr>
      <w:r>
        <w:rPr>
          <w:rFonts w:ascii="Arial" w:hAnsi="Arial" w:cs="Arial"/>
        </w:rPr>
        <w:t>T</w:t>
      </w:r>
      <w:r w:rsidRPr="000F7027">
        <w:rPr>
          <w:rFonts w:ascii="Arial" w:hAnsi="Arial" w:cs="Arial"/>
        </w:rPr>
        <w:t>he Court considered a provision of the District of Columbia code aimed at protecting the representatives of foreign governments by making it unlawful to display within 500 feet of a foreign embassy a sign that tends to bring that foreign government into “public odium” or “public disrepute.”</w:t>
      </w:r>
    </w:p>
    <w:p w14:paraId="4FE0F392" w14:textId="03D6E4B2" w:rsidR="000F7027" w:rsidRPr="000F7027" w:rsidRDefault="000F7027" w:rsidP="000F7027">
      <w:pPr>
        <w:pStyle w:val="ListParagraph"/>
        <w:numPr>
          <w:ilvl w:val="3"/>
          <w:numId w:val="1"/>
        </w:numPr>
        <w:rPr>
          <w:rFonts w:ascii="Arial" w:hAnsi="Arial" w:cs="Arial"/>
        </w:rPr>
      </w:pPr>
      <w:r>
        <w:rPr>
          <w:rFonts w:ascii="Arial" w:hAnsi="Arial" w:cs="Arial"/>
        </w:rPr>
        <w:t>T</w:t>
      </w:r>
      <w:r w:rsidRPr="000F7027">
        <w:rPr>
          <w:rFonts w:ascii="Arial" w:hAnsi="Arial" w:cs="Arial"/>
        </w:rPr>
        <w:t xml:space="preserve">he Court held that the law was not narrowly tailored to serve </w:t>
      </w:r>
      <w:r>
        <w:rPr>
          <w:rFonts w:ascii="Arial" w:hAnsi="Arial" w:cs="Arial"/>
        </w:rPr>
        <w:t xml:space="preserve">the </w:t>
      </w:r>
      <w:r w:rsidRPr="000F7027">
        <w:rPr>
          <w:rFonts w:ascii="Arial" w:hAnsi="Arial" w:cs="Arial"/>
        </w:rPr>
        <w:t>interest</w:t>
      </w:r>
      <w:r>
        <w:rPr>
          <w:rFonts w:ascii="Arial" w:hAnsi="Arial" w:cs="Arial"/>
        </w:rPr>
        <w:t xml:space="preserve"> of protecting diplomats.</w:t>
      </w:r>
    </w:p>
    <w:p w14:paraId="200FED73" w14:textId="77777777" w:rsidR="00B67417" w:rsidRPr="000F7027" w:rsidRDefault="00B67417" w:rsidP="00B67417">
      <w:pPr>
        <w:pStyle w:val="ListParagraph"/>
        <w:numPr>
          <w:ilvl w:val="2"/>
          <w:numId w:val="1"/>
        </w:numPr>
        <w:rPr>
          <w:rFonts w:ascii="Arial" w:hAnsi="Arial" w:cs="Arial"/>
          <w:i/>
          <w:iCs/>
        </w:rPr>
      </w:pPr>
      <w:r w:rsidRPr="000F7027">
        <w:rPr>
          <w:rFonts w:ascii="Arial" w:hAnsi="Arial" w:cs="Arial"/>
          <w:i/>
          <w:iCs/>
        </w:rPr>
        <w:t>McCullen v. Coakley (2014)</w:t>
      </w:r>
    </w:p>
    <w:p w14:paraId="1D7B9492" w14:textId="5CD749B7" w:rsidR="000F7027" w:rsidRDefault="000F7027" w:rsidP="000F7027">
      <w:pPr>
        <w:pStyle w:val="ListParagraph"/>
        <w:numPr>
          <w:ilvl w:val="3"/>
          <w:numId w:val="1"/>
        </w:numPr>
        <w:rPr>
          <w:rFonts w:ascii="Arial" w:hAnsi="Arial" w:cs="Arial"/>
        </w:rPr>
      </w:pPr>
      <w:r w:rsidRPr="000F7027">
        <w:rPr>
          <w:rFonts w:ascii="Arial" w:hAnsi="Arial" w:cs="Arial"/>
        </w:rPr>
        <w:t>Chief Justice Roberts</w:t>
      </w:r>
      <w:r>
        <w:rPr>
          <w:rFonts w:ascii="Arial" w:hAnsi="Arial" w:cs="Arial"/>
        </w:rPr>
        <w:t xml:space="preserve"> </w:t>
      </w:r>
      <w:r w:rsidRPr="000F7027">
        <w:rPr>
          <w:rFonts w:ascii="Arial" w:hAnsi="Arial" w:cs="Arial"/>
        </w:rPr>
        <w:t>saw the buffer zone as content neutral: the law regulates not what people say but where they say it.</w:t>
      </w:r>
    </w:p>
    <w:p w14:paraId="0B2D9A36" w14:textId="4D9AD09E" w:rsidR="000F7027" w:rsidRPr="00B67417" w:rsidRDefault="000F7027" w:rsidP="000F7027">
      <w:pPr>
        <w:pStyle w:val="ListParagraph"/>
        <w:numPr>
          <w:ilvl w:val="3"/>
          <w:numId w:val="1"/>
        </w:numPr>
        <w:rPr>
          <w:rFonts w:ascii="Arial" w:hAnsi="Arial" w:cs="Arial"/>
        </w:rPr>
      </w:pPr>
      <w:r w:rsidRPr="000F7027">
        <w:rPr>
          <w:rFonts w:ascii="Arial" w:hAnsi="Arial" w:cs="Arial"/>
        </w:rPr>
        <w:t>By contrast, Justice Scalia concluded that the law was content based, aimed specifically at the discussion of abortion.</w:t>
      </w:r>
    </w:p>
    <w:sectPr w:rsidR="000F7027" w:rsidRPr="00B67417" w:rsidSect="006B36F1">
      <w:headerReference w:type="default" r:id="rId7"/>
      <w:head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868D4" w14:textId="77777777" w:rsidR="001A673D" w:rsidRDefault="001A673D" w:rsidP="00AC6798">
      <w:pPr>
        <w:spacing w:after="0" w:line="240" w:lineRule="auto"/>
      </w:pPr>
      <w:r>
        <w:separator/>
      </w:r>
    </w:p>
  </w:endnote>
  <w:endnote w:type="continuationSeparator" w:id="0">
    <w:p w14:paraId="4EC5AC00" w14:textId="77777777" w:rsidR="001A673D" w:rsidRDefault="001A673D"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54CD3" w14:textId="77777777" w:rsidR="001A673D" w:rsidRDefault="001A673D" w:rsidP="00AC6798">
      <w:pPr>
        <w:spacing w:after="0" w:line="240" w:lineRule="auto"/>
      </w:pPr>
      <w:r>
        <w:separator/>
      </w:r>
    </w:p>
  </w:footnote>
  <w:footnote w:type="continuationSeparator" w:id="0">
    <w:p w14:paraId="4DB72A4F" w14:textId="77777777" w:rsidR="001A673D" w:rsidRDefault="001A673D"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7BD6FEA"/>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3"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1" w15:restartNumberingAfterBreak="0">
    <w:nsid w:val="4AD45D27"/>
    <w:multiLevelType w:val="hybridMultilevel"/>
    <w:tmpl w:val="7B7605A0"/>
    <w:lvl w:ilvl="0" w:tplc="09CE9E62">
      <w:start w:val="1"/>
      <w:numFmt w:val="decimal"/>
      <w:lvlText w:val="6.%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4"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48218418">
    <w:abstractNumId w:val="0"/>
  </w:num>
  <w:num w:numId="2" w16cid:durableId="1440951929">
    <w:abstractNumId w:val="6"/>
  </w:num>
  <w:num w:numId="3" w16cid:durableId="702093446">
    <w:abstractNumId w:val="3"/>
  </w:num>
  <w:num w:numId="4" w16cid:durableId="1691183249">
    <w:abstractNumId w:val="15"/>
  </w:num>
  <w:num w:numId="5" w16cid:durableId="2067291019">
    <w:abstractNumId w:val="8"/>
  </w:num>
  <w:num w:numId="6" w16cid:durableId="1839153921">
    <w:abstractNumId w:val="16"/>
  </w:num>
  <w:num w:numId="7" w16cid:durableId="1871647932">
    <w:abstractNumId w:val="2"/>
  </w:num>
  <w:num w:numId="8" w16cid:durableId="1353996665">
    <w:abstractNumId w:val="14"/>
  </w:num>
  <w:num w:numId="9" w16cid:durableId="1557355003">
    <w:abstractNumId w:val="13"/>
  </w:num>
  <w:num w:numId="10" w16cid:durableId="765853909">
    <w:abstractNumId w:val="10"/>
  </w:num>
  <w:num w:numId="11" w16cid:durableId="2060662099">
    <w:abstractNumId w:val="9"/>
  </w:num>
  <w:num w:numId="12" w16cid:durableId="77757695">
    <w:abstractNumId w:val="11"/>
  </w:num>
  <w:num w:numId="13" w16cid:durableId="618878591">
    <w:abstractNumId w:val="12"/>
  </w:num>
  <w:num w:numId="14" w16cid:durableId="98113335">
    <w:abstractNumId w:val="7"/>
  </w:num>
  <w:num w:numId="15" w16cid:durableId="114719064">
    <w:abstractNumId w:val="5"/>
  </w:num>
  <w:num w:numId="16" w16cid:durableId="1982299134">
    <w:abstractNumId w:val="4"/>
  </w:num>
  <w:num w:numId="17" w16cid:durableId="1237284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798"/>
    <w:rsid w:val="000029C3"/>
    <w:rsid w:val="00056767"/>
    <w:rsid w:val="00082B6D"/>
    <w:rsid w:val="00087E92"/>
    <w:rsid w:val="000B51AC"/>
    <w:rsid w:val="000C73BA"/>
    <w:rsid w:val="000F7027"/>
    <w:rsid w:val="0013263E"/>
    <w:rsid w:val="00136B9D"/>
    <w:rsid w:val="00146F66"/>
    <w:rsid w:val="001A673D"/>
    <w:rsid w:val="00244A66"/>
    <w:rsid w:val="00256313"/>
    <w:rsid w:val="0028082F"/>
    <w:rsid w:val="002842B8"/>
    <w:rsid w:val="003437A4"/>
    <w:rsid w:val="003E4F8E"/>
    <w:rsid w:val="00415B0E"/>
    <w:rsid w:val="004233B1"/>
    <w:rsid w:val="0049088F"/>
    <w:rsid w:val="0049735A"/>
    <w:rsid w:val="004C441E"/>
    <w:rsid w:val="00590188"/>
    <w:rsid w:val="005C52FF"/>
    <w:rsid w:val="00601E26"/>
    <w:rsid w:val="00647166"/>
    <w:rsid w:val="006B36F1"/>
    <w:rsid w:val="00705800"/>
    <w:rsid w:val="00714814"/>
    <w:rsid w:val="00762015"/>
    <w:rsid w:val="00786291"/>
    <w:rsid w:val="00797EB8"/>
    <w:rsid w:val="007D1BD4"/>
    <w:rsid w:val="0080487A"/>
    <w:rsid w:val="00814DAF"/>
    <w:rsid w:val="00857730"/>
    <w:rsid w:val="00861359"/>
    <w:rsid w:val="008712B7"/>
    <w:rsid w:val="0091256A"/>
    <w:rsid w:val="00917E71"/>
    <w:rsid w:val="00972826"/>
    <w:rsid w:val="00972B91"/>
    <w:rsid w:val="00985161"/>
    <w:rsid w:val="009B0A63"/>
    <w:rsid w:val="00A0045D"/>
    <w:rsid w:val="00A00903"/>
    <w:rsid w:val="00A12BED"/>
    <w:rsid w:val="00A52B39"/>
    <w:rsid w:val="00AC6798"/>
    <w:rsid w:val="00AD14CA"/>
    <w:rsid w:val="00AF3200"/>
    <w:rsid w:val="00B25DB6"/>
    <w:rsid w:val="00B556F5"/>
    <w:rsid w:val="00B67417"/>
    <w:rsid w:val="00C22A1D"/>
    <w:rsid w:val="00C4089C"/>
    <w:rsid w:val="00C5527F"/>
    <w:rsid w:val="00CA6731"/>
    <w:rsid w:val="00CB5747"/>
    <w:rsid w:val="00CC1E10"/>
    <w:rsid w:val="00CC470D"/>
    <w:rsid w:val="00CE3ED0"/>
    <w:rsid w:val="00D24B9F"/>
    <w:rsid w:val="00D30282"/>
    <w:rsid w:val="00DA0BED"/>
    <w:rsid w:val="00DB6ECD"/>
    <w:rsid w:val="00DD0D71"/>
    <w:rsid w:val="00DE4AD0"/>
    <w:rsid w:val="00E0583E"/>
    <w:rsid w:val="00E07374"/>
    <w:rsid w:val="00E27C4D"/>
    <w:rsid w:val="00E455B4"/>
    <w:rsid w:val="00E630F2"/>
    <w:rsid w:val="00E91086"/>
    <w:rsid w:val="00E93FEB"/>
    <w:rsid w:val="00EB6B8B"/>
    <w:rsid w:val="00ED4189"/>
    <w:rsid w:val="00ED7CB7"/>
    <w:rsid w:val="00EE7FB4"/>
    <w:rsid w:val="00F64253"/>
    <w:rsid w:val="00F750EE"/>
    <w:rsid w:val="00F93A83"/>
    <w:rsid w:val="00FB2A8D"/>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284911E6-1FBC-48F8-ADDE-DD3A425B1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244A66"/>
    <w:pPr>
      <w:numPr>
        <w:numId w:val="17"/>
      </w:numPr>
    </w:pPr>
  </w:style>
  <w:style w:type="paragraph" w:styleId="BalloonText">
    <w:name w:val="Balloon Text"/>
    <w:basedOn w:val="Normal"/>
    <w:link w:val="BalloonTextChar"/>
    <w:uiPriority w:val="99"/>
    <w:semiHidden/>
    <w:unhideWhenUsed/>
    <w:rsid w:val="00762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015"/>
    <w:rPr>
      <w:rFonts w:ascii="Tahoma" w:eastAsiaTheme="minorEastAsia" w:hAnsi="Tahoma" w:cs="Tahoma"/>
      <w:sz w:val="16"/>
      <w:szCs w:val="16"/>
    </w:rPr>
  </w:style>
  <w:style w:type="paragraph" w:styleId="Revision">
    <w:name w:val="Revision"/>
    <w:hidden/>
    <w:uiPriority w:val="99"/>
    <w:semiHidden/>
    <w:rsid w:val="009B0A63"/>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10</Pages>
  <Words>3204</Words>
  <Characters>16726</Characters>
  <Application>Microsoft Office Word</Application>
  <DocSecurity>0</DocSecurity>
  <Lines>371</Lines>
  <Paragraphs>223</Paragraphs>
  <ScaleCrop>false</ScaleCrop>
  <HeadingPairs>
    <vt:vector size="2" baseType="variant">
      <vt:variant>
        <vt:lpstr>Title</vt:lpstr>
      </vt:variant>
      <vt:variant>
        <vt:i4>1</vt:i4>
      </vt:variant>
    </vt:vector>
  </HeadingPairs>
  <TitlesOfParts>
    <vt:vector size="1" baseType="lpstr">
      <vt:lpstr>Epstein 12e Chapter 6 Lecture Notes</vt:lpstr>
    </vt:vector>
  </TitlesOfParts>
  <Manager/>
  <Company>Sage Publications</Company>
  <LinksUpToDate>false</LinksUpToDate>
  <CharactersWithSpaces>19707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6 Lecture Notes</dc:title>
  <dc:subject/>
  <dc:creator>Bierach, Katie</dc:creator>
  <cp:keywords/>
  <dc:description/>
  <cp:lastModifiedBy>Daria Terry</cp:lastModifiedBy>
  <cp:revision>28</cp:revision>
  <dcterms:created xsi:type="dcterms:W3CDTF">2024-03-26T18:14:00Z</dcterms:created>
  <dcterms:modified xsi:type="dcterms:W3CDTF">2025-10-14T19:07:00Z</dcterms:modified>
  <cp:category/>
</cp:coreProperties>
</file>