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02490" w14:textId="77777777" w:rsidR="00AC6798" w:rsidRPr="00857730" w:rsidRDefault="00AC6798" w:rsidP="00857730">
      <w:pPr>
        <w:pStyle w:val="Title"/>
        <w:rPr>
          <w:rFonts w:cs="Arial"/>
        </w:rPr>
      </w:pPr>
      <w:r w:rsidRPr="00857730">
        <w:rPr>
          <w:rFonts w:cs="Arial"/>
        </w:rPr>
        <w:t xml:space="preserve">Lecture </w:t>
      </w:r>
      <w:bookmarkStart w:id="0" w:name="_GoBack"/>
      <w:bookmarkEnd w:id="0"/>
      <w:r w:rsidRPr="00857730">
        <w:rPr>
          <w:rFonts w:cs="Arial"/>
        </w:rPr>
        <w:t>Notes</w:t>
      </w:r>
    </w:p>
    <w:p w14:paraId="41876262" w14:textId="6B1AEAEF" w:rsidR="00CE3ED0" w:rsidRPr="00857730" w:rsidRDefault="00705800" w:rsidP="00AC6798">
      <w:pPr>
        <w:pStyle w:val="Heading1"/>
        <w:rPr>
          <w:rFonts w:cs="Arial"/>
        </w:rPr>
      </w:pPr>
      <w:r w:rsidRPr="00857730">
        <w:rPr>
          <w:rFonts w:cs="Arial"/>
        </w:rPr>
        <w:t xml:space="preserve">Chapter </w:t>
      </w:r>
      <w:r w:rsidR="000C1B4E">
        <w:rPr>
          <w:rFonts w:cs="Arial"/>
        </w:rPr>
        <w:t>12</w:t>
      </w:r>
      <w:r w:rsidRPr="00857730">
        <w:rPr>
          <w:rFonts w:cs="Arial"/>
        </w:rPr>
        <w:t xml:space="preserve">: </w:t>
      </w:r>
      <w:r w:rsidR="000C1B4E" w:rsidRPr="000C1B4E">
        <w:rPr>
          <w:rFonts w:cs="Arial"/>
        </w:rPr>
        <w:t>Attorneys, Trials, and Punishments</w:t>
      </w:r>
    </w:p>
    <w:p w14:paraId="7132C174" w14:textId="77777777" w:rsidR="00AC6798" w:rsidRPr="00857730" w:rsidRDefault="00AC6798" w:rsidP="00A12BED">
      <w:pPr>
        <w:pStyle w:val="Heading2"/>
        <w:rPr>
          <w:rFonts w:cs="Arial"/>
        </w:rPr>
      </w:pPr>
      <w:r w:rsidRPr="00857730">
        <w:rPr>
          <w:rFonts w:cs="Arial"/>
        </w:rPr>
        <w:t>Annotated Chapter Outline</w:t>
      </w:r>
    </w:p>
    <w:p w14:paraId="43348257" w14:textId="51AFDAEA" w:rsidR="00AC6798" w:rsidRDefault="00AB1B91" w:rsidP="00AC6798">
      <w:pPr>
        <w:pStyle w:val="ListParagraph"/>
        <w:numPr>
          <w:ilvl w:val="0"/>
          <w:numId w:val="1"/>
        </w:numPr>
        <w:rPr>
          <w:rFonts w:ascii="Arial" w:hAnsi="Arial" w:cs="Arial"/>
        </w:rPr>
      </w:pPr>
      <w:r w:rsidRPr="00AB1B91">
        <w:rPr>
          <w:rFonts w:ascii="Arial" w:hAnsi="Arial" w:cs="Arial"/>
        </w:rPr>
        <w:t>The Right to Counsel</w:t>
      </w:r>
    </w:p>
    <w:p w14:paraId="26D4ACC9" w14:textId="60C1582F" w:rsidR="00AB1B91" w:rsidRDefault="00AB1B91" w:rsidP="00AB1B91">
      <w:pPr>
        <w:pStyle w:val="ListParagraph"/>
        <w:numPr>
          <w:ilvl w:val="1"/>
          <w:numId w:val="1"/>
        </w:numPr>
        <w:rPr>
          <w:rFonts w:ascii="Arial" w:hAnsi="Arial" w:cs="Arial"/>
        </w:rPr>
      </w:pPr>
      <w:r w:rsidRPr="00AB1B91">
        <w:rPr>
          <w:rFonts w:ascii="Arial" w:hAnsi="Arial" w:cs="Arial"/>
        </w:rPr>
        <w:t>Indigents and the Right to Counsel: Foundations</w:t>
      </w:r>
    </w:p>
    <w:p w14:paraId="6ACF4CD5" w14:textId="77777777" w:rsidR="00FC7457" w:rsidRDefault="00FC7457" w:rsidP="00FC7457">
      <w:pPr>
        <w:pStyle w:val="ListParagraph"/>
        <w:numPr>
          <w:ilvl w:val="2"/>
          <w:numId w:val="1"/>
        </w:numPr>
        <w:rPr>
          <w:rFonts w:ascii="Arial" w:hAnsi="Arial" w:cs="Arial"/>
          <w:i/>
          <w:iCs/>
        </w:rPr>
      </w:pPr>
      <w:r w:rsidRPr="00FC7457">
        <w:rPr>
          <w:rFonts w:ascii="Arial" w:hAnsi="Arial" w:cs="Arial"/>
          <w:i/>
          <w:iCs/>
        </w:rPr>
        <w:t>Powell v. Alabama (1932)</w:t>
      </w:r>
    </w:p>
    <w:p w14:paraId="76F5A8CA" w14:textId="33F75F72" w:rsidR="00C8534A" w:rsidRDefault="00C8534A" w:rsidP="00C8534A">
      <w:pPr>
        <w:pStyle w:val="ListParagraph"/>
        <w:numPr>
          <w:ilvl w:val="3"/>
          <w:numId w:val="1"/>
        </w:numPr>
        <w:rPr>
          <w:rFonts w:ascii="Arial" w:hAnsi="Arial" w:cs="Arial"/>
        </w:rPr>
      </w:pPr>
      <w:r w:rsidRPr="00C8534A">
        <w:rPr>
          <w:rFonts w:ascii="Arial" w:hAnsi="Arial" w:cs="Arial"/>
        </w:rPr>
        <w:t>The Court declined to decide if the Constitution guarantees the right to counsel for every defendant.</w:t>
      </w:r>
    </w:p>
    <w:p w14:paraId="4833FBE0" w14:textId="476A3AA1" w:rsidR="00C8534A" w:rsidRPr="00C8534A" w:rsidRDefault="00C8534A" w:rsidP="00C8534A">
      <w:pPr>
        <w:pStyle w:val="ListParagraph"/>
        <w:numPr>
          <w:ilvl w:val="3"/>
          <w:numId w:val="1"/>
        </w:numPr>
        <w:rPr>
          <w:rFonts w:ascii="Arial" w:hAnsi="Arial" w:cs="Arial"/>
        </w:rPr>
      </w:pPr>
      <w:r w:rsidRPr="00C8534A">
        <w:rPr>
          <w:rFonts w:ascii="Arial" w:hAnsi="Arial" w:cs="Arial"/>
        </w:rPr>
        <w:t>But, writing for the majority, Justice Sutherland recognized that cases involving unusual situations would necessitate lawyers’ participation to secure fundamental fairness for defendants.</w:t>
      </w:r>
    </w:p>
    <w:p w14:paraId="6B5B3199" w14:textId="0A229F54" w:rsidR="00C8534A" w:rsidRDefault="00C8534A" w:rsidP="00FC7457">
      <w:pPr>
        <w:pStyle w:val="ListParagraph"/>
        <w:numPr>
          <w:ilvl w:val="2"/>
          <w:numId w:val="1"/>
        </w:numPr>
        <w:rPr>
          <w:rFonts w:ascii="Arial" w:hAnsi="Arial" w:cs="Arial"/>
          <w:i/>
          <w:iCs/>
        </w:rPr>
      </w:pPr>
      <w:r w:rsidRPr="00C8534A">
        <w:rPr>
          <w:rFonts w:ascii="Arial" w:hAnsi="Arial" w:cs="Arial"/>
          <w:i/>
          <w:iCs/>
        </w:rPr>
        <w:t>Johnson v. Zerbst</w:t>
      </w:r>
      <w:r>
        <w:rPr>
          <w:rFonts w:ascii="Arial" w:hAnsi="Arial" w:cs="Arial"/>
          <w:i/>
          <w:iCs/>
        </w:rPr>
        <w:t xml:space="preserve"> (1938)</w:t>
      </w:r>
    </w:p>
    <w:p w14:paraId="58BEE9F9" w14:textId="3FB377D4" w:rsidR="00C8534A" w:rsidRPr="00C8534A" w:rsidRDefault="00C8534A" w:rsidP="00C8534A">
      <w:pPr>
        <w:pStyle w:val="ListParagraph"/>
        <w:numPr>
          <w:ilvl w:val="3"/>
          <w:numId w:val="1"/>
        </w:numPr>
        <w:rPr>
          <w:rFonts w:ascii="Arial" w:hAnsi="Arial" w:cs="Arial"/>
        </w:rPr>
      </w:pPr>
      <w:r>
        <w:rPr>
          <w:rFonts w:ascii="Arial" w:hAnsi="Arial" w:cs="Arial"/>
        </w:rPr>
        <w:t>The Court</w:t>
      </w:r>
      <w:r w:rsidRPr="00C8534A">
        <w:rPr>
          <w:rFonts w:ascii="Arial" w:hAnsi="Arial" w:cs="Arial"/>
        </w:rPr>
        <w:t xml:space="preserve"> ruled that, under the Sixth Amendment, indigent defendants involved in federal criminal prosecutions are entitled to be represented by counsel.</w:t>
      </w:r>
    </w:p>
    <w:p w14:paraId="2DC36497" w14:textId="3ED0CD27" w:rsidR="00FC7457" w:rsidRDefault="00FC7457" w:rsidP="00FC7457">
      <w:pPr>
        <w:pStyle w:val="ListParagraph"/>
        <w:numPr>
          <w:ilvl w:val="2"/>
          <w:numId w:val="1"/>
        </w:numPr>
        <w:rPr>
          <w:rFonts w:ascii="Arial" w:hAnsi="Arial" w:cs="Arial"/>
          <w:b/>
          <w:bCs/>
          <w:i/>
          <w:iCs/>
        </w:rPr>
      </w:pPr>
      <w:r w:rsidRPr="00FC7457">
        <w:rPr>
          <w:rFonts w:ascii="Arial" w:hAnsi="Arial" w:cs="Arial"/>
          <w:b/>
          <w:bCs/>
          <w:i/>
          <w:iCs/>
        </w:rPr>
        <w:t>Betts v. Brady (1942)</w:t>
      </w:r>
    </w:p>
    <w:p w14:paraId="2352928F" w14:textId="77777777" w:rsidR="00C8534A" w:rsidRPr="00C8534A" w:rsidRDefault="00C8534A" w:rsidP="00C8534A">
      <w:pPr>
        <w:pStyle w:val="ListParagraph"/>
        <w:numPr>
          <w:ilvl w:val="3"/>
          <w:numId w:val="1"/>
        </w:numPr>
        <w:rPr>
          <w:rFonts w:ascii="Arial" w:hAnsi="Arial" w:cs="Arial"/>
        </w:rPr>
      </w:pPr>
      <w:r w:rsidRPr="00C8534A">
        <w:rPr>
          <w:rFonts w:ascii="Arial" w:hAnsi="Arial" w:cs="Arial"/>
        </w:rPr>
        <w:t>Indicted for robbery in Maryland, Smith Betts—a poor, uneducated but literate, white man—wanted an attorney at government expense.</w:t>
      </w:r>
    </w:p>
    <w:p w14:paraId="3545F4C3" w14:textId="3807EE6D" w:rsidR="00C8534A" w:rsidRPr="00C8534A" w:rsidRDefault="00C8534A" w:rsidP="00C8534A">
      <w:pPr>
        <w:pStyle w:val="ListParagraph"/>
        <w:numPr>
          <w:ilvl w:val="3"/>
          <w:numId w:val="1"/>
        </w:numPr>
        <w:rPr>
          <w:rFonts w:ascii="Arial" w:hAnsi="Arial" w:cs="Arial"/>
          <w:b/>
          <w:bCs/>
          <w:i/>
          <w:iCs/>
        </w:rPr>
      </w:pPr>
      <w:r w:rsidRPr="00C8534A">
        <w:rPr>
          <w:rFonts w:ascii="Arial" w:hAnsi="Arial" w:cs="Arial"/>
        </w:rPr>
        <w:t>Like many states, Maryland provided indigents with counsel only in rape and murder cases.</w:t>
      </w:r>
    </w:p>
    <w:p w14:paraId="15A0F395" w14:textId="77777777" w:rsidR="00C8534A" w:rsidRDefault="00C8534A" w:rsidP="00C8534A">
      <w:pPr>
        <w:pStyle w:val="ListParagraph"/>
        <w:numPr>
          <w:ilvl w:val="3"/>
          <w:numId w:val="1"/>
        </w:numPr>
        <w:rPr>
          <w:rFonts w:ascii="Arial" w:hAnsi="Arial" w:cs="Arial"/>
        </w:rPr>
      </w:pPr>
      <w:r w:rsidRPr="00C8534A">
        <w:rPr>
          <w:rFonts w:ascii="Arial" w:hAnsi="Arial" w:cs="Arial"/>
        </w:rPr>
        <w:t>On appeal he asked the Supreme Court to apply Johnson to the states, thereby incorporating the Sixth Amendment guarantee.</w:t>
      </w:r>
    </w:p>
    <w:p w14:paraId="271BE55E" w14:textId="615504AB" w:rsidR="00C8534A" w:rsidRDefault="00C8534A" w:rsidP="00C8534A">
      <w:pPr>
        <w:pStyle w:val="ListParagraph"/>
        <w:numPr>
          <w:ilvl w:val="3"/>
          <w:numId w:val="1"/>
        </w:numPr>
        <w:rPr>
          <w:rFonts w:ascii="Arial" w:hAnsi="Arial" w:cs="Arial"/>
        </w:rPr>
      </w:pPr>
      <w:r w:rsidRPr="00C8534A">
        <w:rPr>
          <w:rFonts w:ascii="Arial" w:hAnsi="Arial" w:cs="Arial"/>
        </w:rPr>
        <w:t>The Court refused, 6–3.</w:t>
      </w:r>
    </w:p>
    <w:p w14:paraId="0A05F6A2" w14:textId="21A9B0D4" w:rsidR="00C8534A" w:rsidRPr="00C8534A" w:rsidRDefault="00C8534A" w:rsidP="00C8534A">
      <w:pPr>
        <w:pStyle w:val="ListParagraph"/>
        <w:numPr>
          <w:ilvl w:val="3"/>
          <w:numId w:val="1"/>
        </w:numPr>
        <w:rPr>
          <w:rFonts w:ascii="Arial" w:hAnsi="Arial" w:cs="Arial"/>
        </w:rPr>
      </w:pPr>
      <w:r w:rsidRPr="00C8534A">
        <w:rPr>
          <w:rFonts w:ascii="Arial" w:hAnsi="Arial" w:cs="Arial"/>
        </w:rPr>
        <w:t xml:space="preserve">Justice Owen J. Roberts claimed that the framers never intended that the right to counsel be defined as a fundamental guarantee, just that it apply to extreme situations as in </w:t>
      </w:r>
      <w:r w:rsidRPr="00C8534A">
        <w:rPr>
          <w:rFonts w:ascii="Arial" w:hAnsi="Arial" w:cs="Arial"/>
          <w:i/>
          <w:iCs/>
        </w:rPr>
        <w:t>Powell</w:t>
      </w:r>
      <w:r w:rsidRPr="00C8534A">
        <w:rPr>
          <w:rFonts w:ascii="Arial" w:hAnsi="Arial" w:cs="Arial"/>
        </w:rPr>
        <w:t>.</w:t>
      </w:r>
    </w:p>
    <w:p w14:paraId="44D642D9" w14:textId="476A71D4" w:rsidR="00FC7457" w:rsidRDefault="00FC7457" w:rsidP="00FC7457">
      <w:pPr>
        <w:pStyle w:val="ListParagraph"/>
        <w:numPr>
          <w:ilvl w:val="2"/>
          <w:numId w:val="1"/>
        </w:numPr>
        <w:rPr>
          <w:rFonts w:ascii="Arial" w:hAnsi="Arial" w:cs="Arial"/>
          <w:i/>
          <w:iCs/>
        </w:rPr>
      </w:pPr>
      <w:r w:rsidRPr="00FC7457">
        <w:rPr>
          <w:rFonts w:ascii="Arial" w:hAnsi="Arial" w:cs="Arial"/>
          <w:i/>
          <w:iCs/>
        </w:rPr>
        <w:t>Gideon v. Wainwright (1963)</w:t>
      </w:r>
    </w:p>
    <w:p w14:paraId="38EEA7B7" w14:textId="5287CF27" w:rsidR="00C8534A" w:rsidRDefault="00C8534A" w:rsidP="00C8534A">
      <w:pPr>
        <w:pStyle w:val="ListParagraph"/>
        <w:numPr>
          <w:ilvl w:val="3"/>
          <w:numId w:val="1"/>
        </w:numPr>
        <w:rPr>
          <w:rFonts w:ascii="Arial" w:hAnsi="Arial" w:cs="Arial"/>
        </w:rPr>
      </w:pPr>
      <w:r>
        <w:rPr>
          <w:rFonts w:ascii="Arial" w:hAnsi="Arial" w:cs="Arial"/>
        </w:rPr>
        <w:t>This</w:t>
      </w:r>
      <w:r w:rsidRPr="00C8534A">
        <w:rPr>
          <w:rFonts w:ascii="Arial" w:hAnsi="Arial" w:cs="Arial"/>
        </w:rPr>
        <w:t xml:space="preserve"> case provides another example of the Warren Court’s revolution in criminal rights</w:t>
      </w:r>
      <w:r>
        <w:rPr>
          <w:rFonts w:ascii="Arial" w:hAnsi="Arial" w:cs="Arial"/>
        </w:rPr>
        <w:t>.</w:t>
      </w:r>
    </w:p>
    <w:p w14:paraId="39BB03C3" w14:textId="6573AAB5" w:rsidR="00C8534A" w:rsidRPr="00C8534A" w:rsidRDefault="00C8534A" w:rsidP="00C8534A">
      <w:pPr>
        <w:pStyle w:val="ListParagraph"/>
        <w:numPr>
          <w:ilvl w:val="3"/>
          <w:numId w:val="1"/>
        </w:numPr>
        <w:rPr>
          <w:rFonts w:ascii="Arial" w:hAnsi="Arial" w:cs="Arial"/>
        </w:rPr>
      </w:pPr>
      <w:r w:rsidRPr="00C8534A">
        <w:rPr>
          <w:rFonts w:ascii="Arial" w:hAnsi="Arial" w:cs="Arial"/>
        </w:rPr>
        <w:t>In considering cases applying the Bill of Rights to the states</w:t>
      </w:r>
      <w:r>
        <w:rPr>
          <w:rFonts w:ascii="Arial" w:hAnsi="Arial" w:cs="Arial"/>
        </w:rPr>
        <w:t xml:space="preserve">, </w:t>
      </w:r>
      <w:r w:rsidRPr="00C8534A">
        <w:rPr>
          <w:rFonts w:ascii="Arial" w:hAnsi="Arial" w:cs="Arial"/>
        </w:rPr>
        <w:t>Justice John Marshall Harlan’s minority views in the incorporation cases were adopted by later justices.</w:t>
      </w:r>
    </w:p>
    <w:p w14:paraId="02D0C517" w14:textId="3097EBF6" w:rsidR="00C8534A" w:rsidRPr="00C8534A" w:rsidRDefault="00C8534A" w:rsidP="00C8534A">
      <w:pPr>
        <w:pStyle w:val="ListParagraph"/>
        <w:numPr>
          <w:ilvl w:val="3"/>
          <w:numId w:val="1"/>
        </w:numPr>
        <w:rPr>
          <w:rFonts w:ascii="Arial" w:hAnsi="Arial" w:cs="Arial"/>
        </w:rPr>
      </w:pPr>
      <w:r>
        <w:rPr>
          <w:rFonts w:ascii="Arial" w:hAnsi="Arial" w:cs="Arial"/>
        </w:rPr>
        <w:t xml:space="preserve">This case </w:t>
      </w:r>
      <w:r w:rsidRPr="00C8534A">
        <w:rPr>
          <w:rFonts w:ascii="Arial" w:hAnsi="Arial" w:cs="Arial"/>
        </w:rPr>
        <w:t>has had a tremendous impact on the U.S. criminal justice system, in which 80–90 percent of the criminally accused are eligible for legal defense at the government’s expense.</w:t>
      </w:r>
    </w:p>
    <w:p w14:paraId="49285AFA" w14:textId="26263F8E" w:rsidR="00AB1B91" w:rsidRPr="00FC7457" w:rsidRDefault="00AB1B91" w:rsidP="00AB1B91">
      <w:pPr>
        <w:pStyle w:val="ListParagraph"/>
        <w:numPr>
          <w:ilvl w:val="1"/>
          <w:numId w:val="1"/>
        </w:numPr>
        <w:rPr>
          <w:rFonts w:ascii="Arial" w:hAnsi="Arial" w:cs="Arial"/>
        </w:rPr>
      </w:pPr>
      <w:r w:rsidRPr="00AB1B91">
        <w:rPr>
          <w:rFonts w:ascii="Arial" w:hAnsi="Arial" w:cs="Arial"/>
        </w:rPr>
        <w:t xml:space="preserve">Applying </w:t>
      </w:r>
      <w:r w:rsidRPr="00AB1B91">
        <w:rPr>
          <w:rFonts w:ascii="Arial" w:hAnsi="Arial" w:cs="Arial"/>
          <w:i/>
          <w:iCs/>
        </w:rPr>
        <w:t>Gideon</w:t>
      </w:r>
    </w:p>
    <w:p w14:paraId="4E675BAF" w14:textId="1488FE34" w:rsidR="00FC7457" w:rsidRDefault="00FC7457" w:rsidP="00FC7457">
      <w:pPr>
        <w:pStyle w:val="ListParagraph"/>
        <w:numPr>
          <w:ilvl w:val="2"/>
          <w:numId w:val="1"/>
        </w:numPr>
        <w:rPr>
          <w:rFonts w:ascii="Arial" w:hAnsi="Arial" w:cs="Arial"/>
          <w:b/>
          <w:bCs/>
          <w:i/>
          <w:iCs/>
        </w:rPr>
      </w:pPr>
      <w:r w:rsidRPr="00FC7457">
        <w:rPr>
          <w:rFonts w:ascii="Arial" w:hAnsi="Arial" w:cs="Arial"/>
          <w:b/>
          <w:bCs/>
          <w:i/>
          <w:iCs/>
        </w:rPr>
        <w:t xml:space="preserve">Argersinger v. Hamlin (1972) </w:t>
      </w:r>
      <w:r w:rsidRPr="00290606">
        <w:rPr>
          <w:rFonts w:ascii="Arial" w:hAnsi="Arial" w:cs="Arial"/>
        </w:rPr>
        <w:t>and</w:t>
      </w:r>
      <w:r w:rsidRPr="00FC7457">
        <w:rPr>
          <w:rFonts w:ascii="Arial" w:hAnsi="Arial" w:cs="Arial"/>
          <w:b/>
          <w:bCs/>
          <w:i/>
          <w:iCs/>
        </w:rPr>
        <w:t xml:space="preserve"> Scott v. Illinois (1979)</w:t>
      </w:r>
    </w:p>
    <w:p w14:paraId="795CD693" w14:textId="3A06F588" w:rsidR="00290606" w:rsidRPr="00290606" w:rsidRDefault="00290606" w:rsidP="00290606">
      <w:pPr>
        <w:pStyle w:val="ListParagraph"/>
        <w:numPr>
          <w:ilvl w:val="3"/>
          <w:numId w:val="1"/>
        </w:numPr>
        <w:rPr>
          <w:rFonts w:ascii="Arial" w:hAnsi="Arial" w:cs="Arial"/>
        </w:rPr>
      </w:pPr>
      <w:r w:rsidRPr="00290606">
        <w:rPr>
          <w:rFonts w:ascii="Arial" w:hAnsi="Arial" w:cs="Arial"/>
        </w:rPr>
        <w:t xml:space="preserve">In these cases the justices developed the “loss of liberty” rule: an indigent charged with a crime that upon conviction will lead to </w:t>
      </w:r>
      <w:r w:rsidRPr="00290606">
        <w:rPr>
          <w:rFonts w:ascii="Arial" w:hAnsi="Arial" w:cs="Arial"/>
        </w:rPr>
        <w:lastRenderedPageBreak/>
        <w:t>incarceration for even one day is entitled to be represented by counsel at government expense.</w:t>
      </w:r>
    </w:p>
    <w:p w14:paraId="4497B651" w14:textId="7D92BEC4" w:rsidR="00FC7457" w:rsidRDefault="00FC7457" w:rsidP="00FC7457">
      <w:pPr>
        <w:pStyle w:val="ListParagraph"/>
        <w:numPr>
          <w:ilvl w:val="2"/>
          <w:numId w:val="1"/>
        </w:numPr>
        <w:rPr>
          <w:rFonts w:ascii="Arial" w:hAnsi="Arial" w:cs="Arial"/>
          <w:b/>
          <w:bCs/>
          <w:i/>
          <w:iCs/>
        </w:rPr>
      </w:pPr>
      <w:r w:rsidRPr="00FC7457">
        <w:rPr>
          <w:rFonts w:ascii="Arial" w:hAnsi="Arial" w:cs="Arial"/>
          <w:b/>
          <w:bCs/>
          <w:i/>
          <w:iCs/>
        </w:rPr>
        <w:t>Alabama v. Shelton (2002)</w:t>
      </w:r>
    </w:p>
    <w:p w14:paraId="592654C1" w14:textId="77777777" w:rsidR="00290606" w:rsidRDefault="00290606" w:rsidP="00290606">
      <w:pPr>
        <w:pStyle w:val="ListParagraph"/>
        <w:numPr>
          <w:ilvl w:val="3"/>
          <w:numId w:val="1"/>
        </w:numPr>
        <w:rPr>
          <w:rFonts w:ascii="Arial" w:hAnsi="Arial" w:cs="Arial"/>
        </w:rPr>
      </w:pPr>
      <w:r w:rsidRPr="00290606">
        <w:rPr>
          <w:rFonts w:ascii="Arial" w:hAnsi="Arial" w:cs="Arial"/>
        </w:rPr>
        <w:t>LeReed Shelton, convicted of third-degree assault, was sentenced to a jail term of thirty days, which the trial court immediately suspended, placing Shelton on probation for two years.</w:t>
      </w:r>
    </w:p>
    <w:p w14:paraId="3FA57487" w14:textId="10CE65DC" w:rsidR="00290606" w:rsidRPr="00290606" w:rsidRDefault="00290606" w:rsidP="00290606">
      <w:pPr>
        <w:pStyle w:val="ListParagraph"/>
        <w:numPr>
          <w:ilvl w:val="3"/>
          <w:numId w:val="1"/>
        </w:numPr>
        <w:rPr>
          <w:rFonts w:ascii="Arial" w:hAnsi="Arial" w:cs="Arial"/>
        </w:rPr>
      </w:pPr>
      <w:r w:rsidRPr="00290606">
        <w:rPr>
          <w:rFonts w:ascii="Arial" w:hAnsi="Arial" w:cs="Arial"/>
        </w:rPr>
        <w:t>The question the Court addressed was whether the Sixth Amendment right to appointed counsel, as delineated in Argersinger and Scott, applies to a defendant in Shelton’s situation.</w:t>
      </w:r>
    </w:p>
    <w:p w14:paraId="7229A859" w14:textId="3C4B98F0" w:rsidR="00FC7457" w:rsidRDefault="00FC7457" w:rsidP="00FC7457">
      <w:pPr>
        <w:pStyle w:val="ListParagraph"/>
        <w:numPr>
          <w:ilvl w:val="2"/>
          <w:numId w:val="1"/>
        </w:numPr>
        <w:rPr>
          <w:rFonts w:ascii="Arial" w:hAnsi="Arial" w:cs="Arial"/>
          <w:b/>
          <w:bCs/>
          <w:i/>
          <w:iCs/>
        </w:rPr>
      </w:pPr>
      <w:r w:rsidRPr="00FC7457">
        <w:rPr>
          <w:rFonts w:ascii="Arial" w:hAnsi="Arial" w:cs="Arial"/>
          <w:b/>
          <w:bCs/>
          <w:i/>
          <w:iCs/>
        </w:rPr>
        <w:t>Douglas v. California (1963)</w:t>
      </w:r>
    </w:p>
    <w:p w14:paraId="5FB319AF" w14:textId="3F75799A" w:rsidR="00290606" w:rsidRPr="00290606" w:rsidRDefault="00290606" w:rsidP="00290606">
      <w:pPr>
        <w:pStyle w:val="ListParagraph"/>
        <w:numPr>
          <w:ilvl w:val="3"/>
          <w:numId w:val="1"/>
        </w:numPr>
        <w:rPr>
          <w:rFonts w:ascii="Arial" w:hAnsi="Arial" w:cs="Arial"/>
        </w:rPr>
      </w:pPr>
      <w:r w:rsidRPr="00290606">
        <w:rPr>
          <w:rFonts w:ascii="Arial" w:hAnsi="Arial" w:cs="Arial"/>
        </w:rPr>
        <w:t>The Court held that the right to appointed counsel extended through the first obligatory appeal.</w:t>
      </w:r>
    </w:p>
    <w:p w14:paraId="7AB2D6CE" w14:textId="67A01625" w:rsidR="00FC7457" w:rsidRDefault="00FC7457" w:rsidP="00FC7457">
      <w:pPr>
        <w:pStyle w:val="ListParagraph"/>
        <w:numPr>
          <w:ilvl w:val="2"/>
          <w:numId w:val="1"/>
        </w:numPr>
        <w:rPr>
          <w:rFonts w:ascii="Arial" w:hAnsi="Arial" w:cs="Arial"/>
          <w:b/>
          <w:bCs/>
          <w:i/>
          <w:iCs/>
        </w:rPr>
      </w:pPr>
      <w:r w:rsidRPr="00FC7457">
        <w:rPr>
          <w:rFonts w:ascii="Arial" w:hAnsi="Arial" w:cs="Arial"/>
          <w:b/>
          <w:bCs/>
          <w:i/>
          <w:iCs/>
        </w:rPr>
        <w:t>Ross v. Moffitt (1974)</w:t>
      </w:r>
    </w:p>
    <w:p w14:paraId="38F96507" w14:textId="08D771E6" w:rsidR="00290606" w:rsidRPr="00290606" w:rsidRDefault="00290606" w:rsidP="00290606">
      <w:pPr>
        <w:pStyle w:val="ListParagraph"/>
        <w:numPr>
          <w:ilvl w:val="3"/>
          <w:numId w:val="1"/>
        </w:numPr>
        <w:rPr>
          <w:rFonts w:ascii="Arial" w:hAnsi="Arial" w:cs="Arial"/>
        </w:rPr>
      </w:pPr>
      <w:r>
        <w:rPr>
          <w:rFonts w:ascii="Arial" w:hAnsi="Arial" w:cs="Arial"/>
        </w:rPr>
        <w:t>T</w:t>
      </w:r>
      <w:r w:rsidRPr="00290606">
        <w:rPr>
          <w:rFonts w:ascii="Arial" w:hAnsi="Arial" w:cs="Arial"/>
        </w:rPr>
        <w:t xml:space="preserve">he Burger Court—while not reversing </w:t>
      </w:r>
      <w:r w:rsidRPr="00290606">
        <w:rPr>
          <w:rFonts w:ascii="Arial" w:hAnsi="Arial" w:cs="Arial"/>
          <w:i/>
          <w:iCs/>
        </w:rPr>
        <w:t>Douglas</w:t>
      </w:r>
      <w:r w:rsidRPr="00290606">
        <w:rPr>
          <w:rFonts w:ascii="Arial" w:hAnsi="Arial" w:cs="Arial"/>
        </w:rPr>
        <w:t>—refused to extend to subsequent appeals the right to state-provided counsel for indigents.</w:t>
      </w:r>
    </w:p>
    <w:p w14:paraId="35F430C9" w14:textId="49EC8E3A" w:rsidR="00FC7457" w:rsidRDefault="00FC7457" w:rsidP="00FC7457">
      <w:pPr>
        <w:pStyle w:val="ListParagraph"/>
        <w:numPr>
          <w:ilvl w:val="2"/>
          <w:numId w:val="1"/>
        </w:numPr>
        <w:rPr>
          <w:rFonts w:ascii="Arial" w:hAnsi="Arial" w:cs="Arial"/>
          <w:b/>
          <w:bCs/>
          <w:i/>
          <w:iCs/>
        </w:rPr>
      </w:pPr>
      <w:r w:rsidRPr="00FC7457">
        <w:rPr>
          <w:rFonts w:ascii="Arial" w:hAnsi="Arial" w:cs="Arial"/>
          <w:b/>
          <w:bCs/>
          <w:i/>
          <w:iCs/>
        </w:rPr>
        <w:t>Halbert v. Michigan (2005)</w:t>
      </w:r>
    </w:p>
    <w:p w14:paraId="435D5742" w14:textId="0712BC9D" w:rsidR="00290606" w:rsidRDefault="00290606" w:rsidP="00290606">
      <w:pPr>
        <w:pStyle w:val="ListParagraph"/>
        <w:numPr>
          <w:ilvl w:val="3"/>
          <w:numId w:val="1"/>
        </w:numPr>
        <w:rPr>
          <w:rFonts w:ascii="Arial" w:hAnsi="Arial" w:cs="Arial"/>
        </w:rPr>
      </w:pPr>
      <w:r w:rsidRPr="00290606">
        <w:rPr>
          <w:rFonts w:ascii="Arial" w:hAnsi="Arial" w:cs="Arial"/>
        </w:rPr>
        <w:t>Michigan removed the right to counsel for indigent defendants who pleaded guilty at trial and were trying to make a first appeal of their cases.</w:t>
      </w:r>
    </w:p>
    <w:p w14:paraId="00752999" w14:textId="55969AFC" w:rsidR="00290606" w:rsidRDefault="00290606" w:rsidP="00290606">
      <w:pPr>
        <w:pStyle w:val="ListParagraph"/>
        <w:numPr>
          <w:ilvl w:val="3"/>
          <w:numId w:val="1"/>
        </w:numPr>
        <w:rPr>
          <w:rFonts w:ascii="Arial" w:hAnsi="Arial" w:cs="Arial"/>
        </w:rPr>
      </w:pPr>
      <w:r>
        <w:rPr>
          <w:rFonts w:ascii="Arial" w:hAnsi="Arial" w:cs="Arial"/>
        </w:rPr>
        <w:t>T</w:t>
      </w:r>
      <w:r w:rsidRPr="00290606">
        <w:rPr>
          <w:rFonts w:ascii="Arial" w:hAnsi="Arial" w:cs="Arial"/>
        </w:rPr>
        <w:t>he Supreme Court invalidated Michigan’s law—a step, it said, necessitated by Douglas and Ross.</w:t>
      </w:r>
    </w:p>
    <w:p w14:paraId="694C4F85" w14:textId="6CD68264" w:rsidR="00AB1B91" w:rsidRDefault="00AB1B91" w:rsidP="00AB1B91">
      <w:pPr>
        <w:pStyle w:val="ListParagraph"/>
        <w:numPr>
          <w:ilvl w:val="1"/>
          <w:numId w:val="1"/>
        </w:numPr>
        <w:rPr>
          <w:rFonts w:ascii="Arial" w:hAnsi="Arial" w:cs="Arial"/>
        </w:rPr>
      </w:pPr>
      <w:r w:rsidRPr="00AB1B91">
        <w:rPr>
          <w:rFonts w:ascii="Arial" w:hAnsi="Arial" w:cs="Arial"/>
        </w:rPr>
        <w:t>Money, Justice, and (Effective) Representation</w:t>
      </w:r>
    </w:p>
    <w:p w14:paraId="6F5CE026" w14:textId="7905F77D" w:rsidR="00290606" w:rsidRDefault="00290606" w:rsidP="00290606">
      <w:pPr>
        <w:pStyle w:val="ListParagraph"/>
        <w:numPr>
          <w:ilvl w:val="2"/>
          <w:numId w:val="1"/>
        </w:numPr>
        <w:rPr>
          <w:rFonts w:ascii="Arial" w:hAnsi="Arial" w:cs="Arial"/>
        </w:rPr>
      </w:pPr>
      <w:r w:rsidRPr="00290606">
        <w:rPr>
          <w:rFonts w:ascii="Arial" w:hAnsi="Arial" w:cs="Arial"/>
        </w:rPr>
        <w:t>Today, most poor people accused of crimes are represented by public defenders or by attorneys appointed by trial court judges.</w:t>
      </w:r>
    </w:p>
    <w:p w14:paraId="612C7A25" w14:textId="2AAAC8C6" w:rsidR="00290606" w:rsidRDefault="00290606" w:rsidP="00290606">
      <w:pPr>
        <w:pStyle w:val="ListParagraph"/>
        <w:numPr>
          <w:ilvl w:val="2"/>
          <w:numId w:val="1"/>
        </w:numPr>
        <w:rPr>
          <w:rFonts w:ascii="Arial" w:hAnsi="Arial" w:cs="Arial"/>
        </w:rPr>
      </w:pPr>
      <w:r w:rsidRPr="00290606">
        <w:rPr>
          <w:rFonts w:ascii="Arial" w:hAnsi="Arial" w:cs="Arial"/>
        </w:rPr>
        <w:t>Those individuals with substantial resources are still able to hire the best lawyers, investigators, and experts to advance their defenses against criminal charges.</w:t>
      </w:r>
    </w:p>
    <w:p w14:paraId="4CE81B2D" w14:textId="010AFE26" w:rsidR="00106DF9" w:rsidRDefault="00106DF9" w:rsidP="00290606">
      <w:pPr>
        <w:pStyle w:val="ListParagraph"/>
        <w:numPr>
          <w:ilvl w:val="2"/>
          <w:numId w:val="1"/>
        </w:numPr>
        <w:rPr>
          <w:rFonts w:ascii="Arial" w:hAnsi="Arial" w:cs="Arial"/>
        </w:rPr>
      </w:pPr>
      <w:r>
        <w:rPr>
          <w:rFonts w:ascii="Arial" w:hAnsi="Arial" w:cs="Arial"/>
        </w:rPr>
        <w:t>T</w:t>
      </w:r>
      <w:r w:rsidRPr="00106DF9">
        <w:rPr>
          <w:rFonts w:ascii="Arial" w:hAnsi="Arial" w:cs="Arial"/>
        </w:rPr>
        <w:t>he Court has recognized that “the right to counsel is the right to the effective assistance of counsel.”</w:t>
      </w:r>
    </w:p>
    <w:p w14:paraId="33BE5006" w14:textId="2A84BB11" w:rsidR="00106DF9" w:rsidRDefault="00106DF9" w:rsidP="00290606">
      <w:pPr>
        <w:pStyle w:val="ListParagraph"/>
        <w:numPr>
          <w:ilvl w:val="2"/>
          <w:numId w:val="1"/>
        </w:numPr>
        <w:rPr>
          <w:rFonts w:ascii="Arial" w:hAnsi="Arial" w:cs="Arial"/>
          <w:i/>
          <w:iCs/>
        </w:rPr>
      </w:pPr>
      <w:r w:rsidRPr="00106DF9">
        <w:rPr>
          <w:rFonts w:ascii="Arial" w:hAnsi="Arial" w:cs="Arial"/>
          <w:i/>
          <w:iCs/>
        </w:rPr>
        <w:t>Strickland v. Washington (1984)</w:t>
      </w:r>
    </w:p>
    <w:p w14:paraId="1AAE130E" w14:textId="1F13644F" w:rsidR="00106DF9" w:rsidRDefault="00106DF9" w:rsidP="00106DF9">
      <w:pPr>
        <w:pStyle w:val="ListParagraph"/>
        <w:numPr>
          <w:ilvl w:val="3"/>
          <w:numId w:val="1"/>
        </w:numPr>
        <w:rPr>
          <w:rFonts w:ascii="Arial" w:hAnsi="Arial" w:cs="Arial"/>
        </w:rPr>
      </w:pPr>
      <w:r w:rsidRPr="00106DF9">
        <w:rPr>
          <w:rFonts w:ascii="Arial" w:hAnsi="Arial" w:cs="Arial"/>
        </w:rPr>
        <w:t>The Court laid out a test that defendants must meet if they desire to invoke the right to counsel.</w:t>
      </w:r>
    </w:p>
    <w:p w14:paraId="771737EC" w14:textId="2B63F425" w:rsidR="00AB1B91" w:rsidRDefault="00AB1B91" w:rsidP="00AB1B91">
      <w:pPr>
        <w:pStyle w:val="ListParagraph"/>
        <w:numPr>
          <w:ilvl w:val="0"/>
          <w:numId w:val="1"/>
        </w:numPr>
        <w:rPr>
          <w:rFonts w:ascii="Arial" w:hAnsi="Arial" w:cs="Arial"/>
        </w:rPr>
      </w:pPr>
      <w:r w:rsidRPr="00AB1B91">
        <w:rPr>
          <w:rFonts w:ascii="Arial" w:hAnsi="Arial" w:cs="Arial"/>
        </w:rPr>
        <w:t>The Pretrial Period and the Right to Bail</w:t>
      </w:r>
    </w:p>
    <w:p w14:paraId="0A9A2B55" w14:textId="46AE79D6" w:rsidR="00FC7457" w:rsidRDefault="00FC7457" w:rsidP="00FC7457">
      <w:pPr>
        <w:pStyle w:val="ListParagraph"/>
        <w:numPr>
          <w:ilvl w:val="1"/>
          <w:numId w:val="1"/>
        </w:numPr>
        <w:rPr>
          <w:rFonts w:ascii="Arial" w:hAnsi="Arial" w:cs="Arial"/>
          <w:b/>
          <w:bCs/>
          <w:i/>
          <w:iCs/>
        </w:rPr>
      </w:pPr>
      <w:r w:rsidRPr="00FC7457">
        <w:rPr>
          <w:rFonts w:ascii="Arial" w:hAnsi="Arial" w:cs="Arial"/>
          <w:b/>
          <w:bCs/>
          <w:i/>
          <w:iCs/>
        </w:rPr>
        <w:t>United States v. Salerno (1987)</w:t>
      </w:r>
    </w:p>
    <w:p w14:paraId="7256C9A2" w14:textId="50A6776C" w:rsidR="00106DF9" w:rsidRDefault="00106DF9" w:rsidP="00106DF9">
      <w:pPr>
        <w:pStyle w:val="ListParagraph"/>
        <w:numPr>
          <w:ilvl w:val="2"/>
          <w:numId w:val="1"/>
        </w:numPr>
        <w:rPr>
          <w:rFonts w:ascii="Arial" w:hAnsi="Arial" w:cs="Arial"/>
        </w:rPr>
      </w:pPr>
      <w:r w:rsidRPr="00106DF9">
        <w:rPr>
          <w:rFonts w:ascii="Arial" w:hAnsi="Arial" w:cs="Arial"/>
        </w:rPr>
        <w:t>This case challenged the Bail Reform Act of 1984, which authorized judges to deny bail to defendants to “assure . . . the safety of any other person and the community.”</w:t>
      </w:r>
    </w:p>
    <w:p w14:paraId="015F4ECE" w14:textId="77777777" w:rsidR="00106DF9" w:rsidRDefault="00106DF9" w:rsidP="00106DF9">
      <w:pPr>
        <w:pStyle w:val="ListParagraph"/>
        <w:numPr>
          <w:ilvl w:val="2"/>
          <w:numId w:val="1"/>
        </w:numPr>
        <w:rPr>
          <w:rFonts w:ascii="Arial" w:hAnsi="Arial" w:cs="Arial"/>
        </w:rPr>
      </w:pPr>
      <w:r w:rsidRPr="00106DF9">
        <w:rPr>
          <w:rFonts w:ascii="Arial" w:hAnsi="Arial" w:cs="Arial"/>
        </w:rPr>
        <w:t>After federal prosecutors presented evidence suggesting that Anthony Salerno</w:t>
      </w:r>
      <w:r>
        <w:rPr>
          <w:rFonts w:ascii="Arial" w:hAnsi="Arial" w:cs="Arial"/>
        </w:rPr>
        <w:t xml:space="preserve"> </w:t>
      </w:r>
      <w:r w:rsidRPr="00106DF9">
        <w:rPr>
          <w:rFonts w:ascii="Arial" w:hAnsi="Arial" w:cs="Arial"/>
        </w:rPr>
        <w:t>would commit murder if let out, the judge denied bail.</w:t>
      </w:r>
    </w:p>
    <w:p w14:paraId="531F8B4C" w14:textId="77777777" w:rsidR="00106DF9" w:rsidRDefault="00106DF9" w:rsidP="00106DF9">
      <w:pPr>
        <w:pStyle w:val="ListParagraph"/>
        <w:numPr>
          <w:ilvl w:val="2"/>
          <w:numId w:val="1"/>
        </w:numPr>
        <w:rPr>
          <w:rFonts w:ascii="Arial" w:hAnsi="Arial" w:cs="Arial"/>
        </w:rPr>
      </w:pPr>
      <w:r w:rsidRPr="00106DF9">
        <w:rPr>
          <w:rFonts w:ascii="Arial" w:hAnsi="Arial" w:cs="Arial"/>
        </w:rPr>
        <w:t>Salerno successfully appealed to the U.S. Court of Appeals, which declared the 1984 act unconstitutional.</w:t>
      </w:r>
    </w:p>
    <w:p w14:paraId="2858AD03" w14:textId="082A2023" w:rsidR="00106DF9" w:rsidRDefault="00106DF9" w:rsidP="00106DF9">
      <w:pPr>
        <w:pStyle w:val="ListParagraph"/>
        <w:numPr>
          <w:ilvl w:val="2"/>
          <w:numId w:val="1"/>
        </w:numPr>
        <w:rPr>
          <w:rFonts w:ascii="Arial" w:hAnsi="Arial" w:cs="Arial"/>
        </w:rPr>
      </w:pPr>
      <w:r w:rsidRPr="00106DF9">
        <w:rPr>
          <w:rFonts w:ascii="Arial" w:hAnsi="Arial" w:cs="Arial"/>
        </w:rPr>
        <w:t>The federal government then asked the Supreme Court to reverse.</w:t>
      </w:r>
    </w:p>
    <w:p w14:paraId="3AC92CA2" w14:textId="473DE6D7" w:rsidR="00106DF9" w:rsidRDefault="00106DF9" w:rsidP="00106DF9">
      <w:pPr>
        <w:pStyle w:val="ListParagraph"/>
        <w:numPr>
          <w:ilvl w:val="2"/>
          <w:numId w:val="1"/>
        </w:numPr>
        <w:rPr>
          <w:rFonts w:ascii="Arial" w:hAnsi="Arial" w:cs="Arial"/>
        </w:rPr>
      </w:pPr>
      <w:r w:rsidRPr="00106DF9">
        <w:rPr>
          <w:rFonts w:ascii="Arial" w:hAnsi="Arial" w:cs="Arial"/>
        </w:rPr>
        <w:lastRenderedPageBreak/>
        <w:t>In a 6–3 decision, the Court did just that.</w:t>
      </w:r>
    </w:p>
    <w:p w14:paraId="4A874D7D" w14:textId="3D442FD4" w:rsidR="00106DF9" w:rsidRPr="00106DF9" w:rsidRDefault="00106DF9" w:rsidP="00106DF9">
      <w:pPr>
        <w:pStyle w:val="ListParagraph"/>
        <w:numPr>
          <w:ilvl w:val="2"/>
          <w:numId w:val="1"/>
        </w:numPr>
        <w:rPr>
          <w:rFonts w:ascii="Arial" w:hAnsi="Arial" w:cs="Arial"/>
        </w:rPr>
      </w:pPr>
      <w:r w:rsidRPr="00106DF9">
        <w:rPr>
          <w:rFonts w:ascii="Arial" w:hAnsi="Arial" w:cs="Arial"/>
        </w:rPr>
        <w:t>By upholding the 1984 federal law, the majority gave implicit assent to the statutes of twenty-four states that allowed the denial of bail on similar bases.</w:t>
      </w:r>
    </w:p>
    <w:p w14:paraId="1B296842" w14:textId="6A473701" w:rsidR="00AB1B91" w:rsidRDefault="00AB1B91" w:rsidP="00AB1B91">
      <w:pPr>
        <w:pStyle w:val="ListParagraph"/>
        <w:numPr>
          <w:ilvl w:val="0"/>
          <w:numId w:val="1"/>
        </w:numPr>
        <w:rPr>
          <w:rFonts w:ascii="Arial" w:hAnsi="Arial" w:cs="Arial"/>
        </w:rPr>
      </w:pPr>
      <w:r w:rsidRPr="00AB1B91">
        <w:rPr>
          <w:rFonts w:ascii="Arial" w:hAnsi="Arial" w:cs="Arial"/>
        </w:rPr>
        <w:t>The Sixth Amendment and Fair Trials</w:t>
      </w:r>
    </w:p>
    <w:p w14:paraId="619592EA" w14:textId="094A2275" w:rsidR="00AB1B91" w:rsidRDefault="00AB1B91" w:rsidP="00AB1B91">
      <w:pPr>
        <w:pStyle w:val="ListParagraph"/>
        <w:numPr>
          <w:ilvl w:val="1"/>
          <w:numId w:val="1"/>
        </w:numPr>
        <w:rPr>
          <w:rFonts w:ascii="Arial" w:hAnsi="Arial" w:cs="Arial"/>
        </w:rPr>
      </w:pPr>
      <w:r w:rsidRPr="00AB1B91">
        <w:rPr>
          <w:rFonts w:ascii="Arial" w:hAnsi="Arial" w:cs="Arial"/>
        </w:rPr>
        <w:t>Speedy Trials</w:t>
      </w:r>
    </w:p>
    <w:p w14:paraId="7AB67FB6" w14:textId="12E5E4B4" w:rsidR="00FC7457" w:rsidRDefault="00FC7457" w:rsidP="00FC7457">
      <w:pPr>
        <w:pStyle w:val="ListParagraph"/>
        <w:numPr>
          <w:ilvl w:val="2"/>
          <w:numId w:val="1"/>
        </w:numPr>
        <w:rPr>
          <w:rFonts w:ascii="Arial" w:hAnsi="Arial" w:cs="Arial"/>
          <w:b/>
          <w:bCs/>
          <w:i/>
          <w:iCs/>
        </w:rPr>
      </w:pPr>
      <w:r w:rsidRPr="00FC7457">
        <w:rPr>
          <w:rFonts w:ascii="Arial" w:hAnsi="Arial" w:cs="Arial"/>
          <w:b/>
          <w:bCs/>
          <w:i/>
          <w:iCs/>
        </w:rPr>
        <w:t>Barker v. Wingo (1972)</w:t>
      </w:r>
    </w:p>
    <w:p w14:paraId="76E32978" w14:textId="58AA140C" w:rsidR="00106DF9" w:rsidRDefault="00106DF9" w:rsidP="00106DF9">
      <w:pPr>
        <w:pStyle w:val="ListParagraph"/>
        <w:numPr>
          <w:ilvl w:val="3"/>
          <w:numId w:val="1"/>
        </w:numPr>
        <w:rPr>
          <w:rFonts w:ascii="Arial" w:hAnsi="Arial" w:cs="Arial"/>
        </w:rPr>
      </w:pPr>
      <w:r>
        <w:rPr>
          <w:rFonts w:ascii="Arial" w:hAnsi="Arial" w:cs="Arial"/>
        </w:rPr>
        <w:t>T</w:t>
      </w:r>
      <w:r w:rsidRPr="00106DF9">
        <w:rPr>
          <w:rFonts w:ascii="Arial" w:hAnsi="Arial" w:cs="Arial"/>
        </w:rPr>
        <w:t>wo individuals, Willie Barker and Silas Manning, were charged with beating an elderly Kentucky couple to death with a tire iron.</w:t>
      </w:r>
    </w:p>
    <w:p w14:paraId="6F8DB292" w14:textId="77777777" w:rsidR="00106DF9" w:rsidRDefault="00106DF9" w:rsidP="00106DF9">
      <w:pPr>
        <w:pStyle w:val="ListParagraph"/>
        <w:numPr>
          <w:ilvl w:val="3"/>
          <w:numId w:val="1"/>
        </w:numPr>
        <w:rPr>
          <w:rFonts w:ascii="Arial" w:hAnsi="Arial" w:cs="Arial"/>
        </w:rPr>
      </w:pPr>
      <w:r w:rsidRPr="00106DF9">
        <w:rPr>
          <w:rFonts w:ascii="Arial" w:hAnsi="Arial" w:cs="Arial"/>
        </w:rPr>
        <w:t>The prosecutor had a strong case against Manning but not against Barker.</w:t>
      </w:r>
    </w:p>
    <w:p w14:paraId="37DC86BE" w14:textId="4EFD896B" w:rsidR="00106DF9" w:rsidRDefault="00106DF9" w:rsidP="00106DF9">
      <w:pPr>
        <w:pStyle w:val="ListParagraph"/>
        <w:numPr>
          <w:ilvl w:val="3"/>
          <w:numId w:val="1"/>
        </w:numPr>
        <w:rPr>
          <w:rFonts w:ascii="Arial" w:hAnsi="Arial" w:cs="Arial"/>
        </w:rPr>
      </w:pPr>
      <w:r w:rsidRPr="00106DF9">
        <w:rPr>
          <w:rFonts w:ascii="Arial" w:hAnsi="Arial" w:cs="Arial"/>
        </w:rPr>
        <w:t>To convict Barker, the prosecutor needed Manning to testify, but Manning refused on Fifth Amendment grounds.</w:t>
      </w:r>
    </w:p>
    <w:p w14:paraId="017C0710" w14:textId="77777777" w:rsidR="00106DF9" w:rsidRDefault="00106DF9" w:rsidP="00106DF9">
      <w:pPr>
        <w:pStyle w:val="ListParagraph"/>
        <w:numPr>
          <w:ilvl w:val="3"/>
          <w:numId w:val="1"/>
        </w:numPr>
        <w:rPr>
          <w:rFonts w:ascii="Arial" w:hAnsi="Arial" w:cs="Arial"/>
        </w:rPr>
      </w:pPr>
      <w:r w:rsidRPr="00106DF9">
        <w:rPr>
          <w:rFonts w:ascii="Arial" w:hAnsi="Arial" w:cs="Arial"/>
        </w:rPr>
        <w:t>The prosecutor devised the following strategy:</w:t>
      </w:r>
    </w:p>
    <w:p w14:paraId="60B6D8AA" w14:textId="77777777" w:rsidR="00106DF9" w:rsidRDefault="00106DF9" w:rsidP="00106DF9">
      <w:pPr>
        <w:pStyle w:val="ListParagraph"/>
        <w:numPr>
          <w:ilvl w:val="4"/>
          <w:numId w:val="1"/>
        </w:numPr>
        <w:rPr>
          <w:rFonts w:ascii="Arial" w:hAnsi="Arial" w:cs="Arial"/>
        </w:rPr>
      </w:pPr>
      <w:r>
        <w:rPr>
          <w:rFonts w:ascii="Arial" w:hAnsi="Arial" w:cs="Arial"/>
        </w:rPr>
        <w:t>H</w:t>
      </w:r>
      <w:r w:rsidRPr="00106DF9">
        <w:rPr>
          <w:rFonts w:ascii="Arial" w:hAnsi="Arial" w:cs="Arial"/>
        </w:rPr>
        <w:t>e would put Manning on trial first, and, after obtaining a conviction against him, he would try Barker and call Manning as a major witness.</w:t>
      </w:r>
    </w:p>
    <w:p w14:paraId="53051A2D" w14:textId="64E5D8B1" w:rsidR="00106DF9" w:rsidRDefault="00106DF9" w:rsidP="00106DF9">
      <w:pPr>
        <w:pStyle w:val="ListParagraph"/>
        <w:numPr>
          <w:ilvl w:val="4"/>
          <w:numId w:val="1"/>
        </w:numPr>
        <w:rPr>
          <w:rFonts w:ascii="Arial" w:hAnsi="Arial" w:cs="Arial"/>
        </w:rPr>
      </w:pPr>
      <w:r w:rsidRPr="00106DF9">
        <w:rPr>
          <w:rFonts w:ascii="Arial" w:hAnsi="Arial" w:cs="Arial"/>
        </w:rPr>
        <w:t>Manning would no longer be able to refuse to testify on Fifth Amendment grounds because once he was convicted of murder, he could not further incriminate himself.</w:t>
      </w:r>
    </w:p>
    <w:p w14:paraId="3DBFBA60" w14:textId="4C423C2F" w:rsidR="00106DF9" w:rsidRDefault="00106DF9" w:rsidP="00106DF9">
      <w:pPr>
        <w:pStyle w:val="ListParagraph"/>
        <w:numPr>
          <w:ilvl w:val="3"/>
          <w:numId w:val="1"/>
        </w:numPr>
        <w:rPr>
          <w:rFonts w:ascii="Arial" w:hAnsi="Arial" w:cs="Arial"/>
        </w:rPr>
      </w:pPr>
      <w:r w:rsidRPr="00106DF9">
        <w:rPr>
          <w:rFonts w:ascii="Arial" w:hAnsi="Arial" w:cs="Arial"/>
        </w:rPr>
        <w:t>Getting Manning convicted took longer than the prosecutor had anticipated.</w:t>
      </w:r>
    </w:p>
    <w:p w14:paraId="2B5CE444" w14:textId="2E86CA49" w:rsidR="00106DF9" w:rsidRDefault="00106DF9" w:rsidP="00106DF9">
      <w:pPr>
        <w:pStyle w:val="ListParagraph"/>
        <w:numPr>
          <w:ilvl w:val="3"/>
          <w:numId w:val="1"/>
        </w:numPr>
        <w:rPr>
          <w:rFonts w:ascii="Arial" w:hAnsi="Arial" w:cs="Arial"/>
        </w:rPr>
      </w:pPr>
      <w:r w:rsidRPr="00106DF9">
        <w:rPr>
          <w:rFonts w:ascii="Arial" w:hAnsi="Arial" w:cs="Arial"/>
        </w:rPr>
        <w:t>Finally, five years after he was indicted for murder, Barker was tried, found guilty, and sentenced to life in prison.</w:t>
      </w:r>
    </w:p>
    <w:p w14:paraId="09677262" w14:textId="77777777" w:rsidR="00106DF9" w:rsidRDefault="00106DF9" w:rsidP="00106DF9">
      <w:pPr>
        <w:pStyle w:val="ListParagraph"/>
        <w:numPr>
          <w:ilvl w:val="3"/>
          <w:numId w:val="1"/>
        </w:numPr>
        <w:rPr>
          <w:rFonts w:ascii="Arial" w:hAnsi="Arial" w:cs="Arial"/>
        </w:rPr>
      </w:pPr>
      <w:r w:rsidRPr="00106DF9">
        <w:rPr>
          <w:rFonts w:ascii="Arial" w:hAnsi="Arial" w:cs="Arial"/>
        </w:rPr>
        <w:t>Barker’s attorneys appealed the conviction on the grounds that the five-year delay was a violation of the Sixth Amendment.</w:t>
      </w:r>
    </w:p>
    <w:p w14:paraId="3AA922FE" w14:textId="3D83EEA8" w:rsidR="00106DF9" w:rsidRDefault="00106DF9" w:rsidP="00106DF9">
      <w:pPr>
        <w:pStyle w:val="ListParagraph"/>
        <w:numPr>
          <w:ilvl w:val="3"/>
          <w:numId w:val="1"/>
        </w:numPr>
        <w:rPr>
          <w:rFonts w:ascii="Arial" w:hAnsi="Arial" w:cs="Arial"/>
        </w:rPr>
      </w:pPr>
      <w:r w:rsidRPr="00106DF9">
        <w:rPr>
          <w:rFonts w:ascii="Arial" w:hAnsi="Arial" w:cs="Arial"/>
        </w:rPr>
        <w:t>A unanimous Supreme Court, through an opinion by Justice Lewis F. Powell Jr., refused to designate a specific length of time that would constitute unreasonable delay.</w:t>
      </w:r>
    </w:p>
    <w:p w14:paraId="7CAC76C4" w14:textId="6DD46238" w:rsidR="00106DF9" w:rsidRPr="00106DF9" w:rsidRDefault="00106DF9" w:rsidP="00106DF9">
      <w:pPr>
        <w:pStyle w:val="ListParagraph"/>
        <w:numPr>
          <w:ilvl w:val="3"/>
          <w:numId w:val="1"/>
        </w:numPr>
        <w:rPr>
          <w:rFonts w:ascii="Arial" w:hAnsi="Arial" w:cs="Arial"/>
        </w:rPr>
      </w:pPr>
      <w:r w:rsidRPr="00106DF9">
        <w:rPr>
          <w:rFonts w:ascii="Arial" w:hAnsi="Arial" w:cs="Arial"/>
        </w:rPr>
        <w:t>As applied to Barker, the Court found no constitutional violation.</w:t>
      </w:r>
    </w:p>
    <w:p w14:paraId="659E8989" w14:textId="45FA64B0" w:rsidR="00FC7457" w:rsidRDefault="00FC7457" w:rsidP="00FC7457">
      <w:pPr>
        <w:pStyle w:val="ListParagraph"/>
        <w:numPr>
          <w:ilvl w:val="2"/>
          <w:numId w:val="1"/>
        </w:numPr>
        <w:rPr>
          <w:rFonts w:ascii="Arial" w:hAnsi="Arial" w:cs="Arial"/>
          <w:b/>
          <w:bCs/>
          <w:i/>
          <w:iCs/>
        </w:rPr>
      </w:pPr>
      <w:r w:rsidRPr="00FC7457">
        <w:rPr>
          <w:rFonts w:ascii="Arial" w:hAnsi="Arial" w:cs="Arial"/>
          <w:b/>
          <w:bCs/>
          <w:i/>
          <w:iCs/>
        </w:rPr>
        <w:t>Vermont v. Brillon (2009)</w:t>
      </w:r>
    </w:p>
    <w:p w14:paraId="40597D78" w14:textId="023588DE" w:rsidR="00106DF9" w:rsidRDefault="00106DF9" w:rsidP="00106DF9">
      <w:pPr>
        <w:pStyle w:val="ListParagraph"/>
        <w:numPr>
          <w:ilvl w:val="3"/>
          <w:numId w:val="1"/>
        </w:numPr>
        <w:rPr>
          <w:rFonts w:ascii="Arial" w:hAnsi="Arial" w:cs="Arial"/>
        </w:rPr>
      </w:pPr>
      <w:r>
        <w:rPr>
          <w:rFonts w:ascii="Arial" w:hAnsi="Arial" w:cs="Arial"/>
        </w:rPr>
        <w:t>T</w:t>
      </w:r>
      <w:r w:rsidRPr="00106DF9">
        <w:rPr>
          <w:rFonts w:ascii="Arial" w:hAnsi="Arial" w:cs="Arial"/>
        </w:rPr>
        <w:t>he Court considered whether delays caused solely by an indigent defendant’s public defender could violate the defendant’s speedy trial rights and be charged against the state pursuant to the test in Barker.</w:t>
      </w:r>
    </w:p>
    <w:p w14:paraId="4AAACA1C" w14:textId="77777777" w:rsidR="00106DF9" w:rsidRDefault="00106DF9" w:rsidP="00106DF9">
      <w:pPr>
        <w:pStyle w:val="ListParagraph"/>
        <w:numPr>
          <w:ilvl w:val="3"/>
          <w:numId w:val="1"/>
        </w:numPr>
        <w:rPr>
          <w:rFonts w:ascii="Arial" w:hAnsi="Arial" w:cs="Arial"/>
        </w:rPr>
      </w:pPr>
      <w:r w:rsidRPr="00106DF9">
        <w:rPr>
          <w:rFonts w:ascii="Arial" w:hAnsi="Arial" w:cs="Arial"/>
        </w:rPr>
        <w:t>The defendant, Brillon, argued that the Court should answer in the affirmative because public defenders are paid by the state.</w:t>
      </w:r>
    </w:p>
    <w:p w14:paraId="30E7321A" w14:textId="408508AE" w:rsidR="00106DF9" w:rsidRPr="00106DF9" w:rsidRDefault="00106DF9" w:rsidP="00106DF9">
      <w:pPr>
        <w:pStyle w:val="ListParagraph"/>
        <w:numPr>
          <w:ilvl w:val="3"/>
          <w:numId w:val="1"/>
        </w:numPr>
        <w:rPr>
          <w:rFonts w:ascii="Arial" w:hAnsi="Arial" w:cs="Arial"/>
        </w:rPr>
      </w:pPr>
      <w:r w:rsidRPr="00106DF9">
        <w:rPr>
          <w:rFonts w:ascii="Arial" w:hAnsi="Arial" w:cs="Arial"/>
        </w:rPr>
        <w:t>Writing for a 7–2 Court, Justice Ruth Bader Ginsburg held against Brillon.</w:t>
      </w:r>
    </w:p>
    <w:p w14:paraId="0F3B3ED2" w14:textId="72283302" w:rsidR="00AB1B91" w:rsidRDefault="00AB1B91" w:rsidP="00AB1B91">
      <w:pPr>
        <w:pStyle w:val="ListParagraph"/>
        <w:numPr>
          <w:ilvl w:val="1"/>
          <w:numId w:val="1"/>
        </w:numPr>
        <w:rPr>
          <w:rFonts w:ascii="Arial" w:hAnsi="Arial" w:cs="Arial"/>
        </w:rPr>
      </w:pPr>
      <w:r w:rsidRPr="00AB1B91">
        <w:rPr>
          <w:rFonts w:ascii="Arial" w:hAnsi="Arial" w:cs="Arial"/>
        </w:rPr>
        <w:t>Jury Trials</w:t>
      </w:r>
    </w:p>
    <w:p w14:paraId="1C2DE558" w14:textId="0DC3D843" w:rsidR="00AB1B91" w:rsidRDefault="00AB1B91" w:rsidP="00AB1B91">
      <w:pPr>
        <w:pStyle w:val="ListParagraph"/>
        <w:numPr>
          <w:ilvl w:val="2"/>
          <w:numId w:val="1"/>
        </w:numPr>
        <w:rPr>
          <w:rFonts w:ascii="Arial" w:hAnsi="Arial" w:cs="Arial"/>
        </w:rPr>
      </w:pPr>
      <w:r w:rsidRPr="00AB1B91">
        <w:rPr>
          <w:rFonts w:ascii="Arial" w:hAnsi="Arial" w:cs="Arial"/>
        </w:rPr>
        <w:t>Jury Members</w:t>
      </w:r>
    </w:p>
    <w:p w14:paraId="32FEE8EB" w14:textId="0942B45D" w:rsidR="00A53060" w:rsidRDefault="00A53060" w:rsidP="00A53060">
      <w:pPr>
        <w:pStyle w:val="ListParagraph"/>
        <w:numPr>
          <w:ilvl w:val="3"/>
          <w:numId w:val="1"/>
        </w:numPr>
        <w:rPr>
          <w:rFonts w:ascii="Arial" w:hAnsi="Arial" w:cs="Arial"/>
        </w:rPr>
      </w:pPr>
      <w:r w:rsidRPr="00A53060">
        <w:rPr>
          <w:rFonts w:ascii="Arial" w:hAnsi="Arial" w:cs="Arial"/>
        </w:rPr>
        <w:t>To put together representative panels, many jurisdictions follow a procedure that works this way:</w:t>
      </w:r>
    </w:p>
    <w:p w14:paraId="3A335040" w14:textId="09B890B7" w:rsidR="00A53060" w:rsidRDefault="00A53060" w:rsidP="00A53060">
      <w:pPr>
        <w:pStyle w:val="ListParagraph"/>
        <w:numPr>
          <w:ilvl w:val="4"/>
          <w:numId w:val="1"/>
        </w:numPr>
        <w:rPr>
          <w:rFonts w:ascii="Arial" w:hAnsi="Arial" w:cs="Arial"/>
        </w:rPr>
      </w:pPr>
      <w:r w:rsidRPr="00A53060">
        <w:rPr>
          <w:rFonts w:ascii="Arial" w:hAnsi="Arial" w:cs="Arial"/>
        </w:rPr>
        <w:lastRenderedPageBreak/>
        <w:t>Individuals living within a specified geographic area are called for jury duty.</w:t>
      </w:r>
    </w:p>
    <w:p w14:paraId="1FA5319D" w14:textId="238C790B" w:rsidR="00A53060" w:rsidRDefault="00A53060" w:rsidP="00A53060">
      <w:pPr>
        <w:pStyle w:val="ListParagraph"/>
        <w:numPr>
          <w:ilvl w:val="4"/>
          <w:numId w:val="1"/>
        </w:numPr>
        <w:rPr>
          <w:rFonts w:ascii="Arial" w:hAnsi="Arial" w:cs="Arial"/>
        </w:rPr>
      </w:pPr>
      <w:r w:rsidRPr="00A53060">
        <w:rPr>
          <w:rFonts w:ascii="Arial" w:hAnsi="Arial" w:cs="Arial"/>
        </w:rPr>
        <w:t>Those selected form the jury pool, or venire, the group from which attorneys choose the jury.</w:t>
      </w:r>
    </w:p>
    <w:p w14:paraId="0D8EFA0D" w14:textId="1841ED6B" w:rsidR="00A53060" w:rsidRDefault="00A53060" w:rsidP="00A53060">
      <w:pPr>
        <w:pStyle w:val="ListParagraph"/>
        <w:numPr>
          <w:ilvl w:val="4"/>
          <w:numId w:val="1"/>
        </w:numPr>
        <w:rPr>
          <w:rFonts w:ascii="Arial" w:hAnsi="Arial" w:cs="Arial"/>
        </w:rPr>
      </w:pPr>
      <w:r w:rsidRPr="00A53060">
        <w:rPr>
          <w:rFonts w:ascii="Arial" w:hAnsi="Arial" w:cs="Arial"/>
        </w:rPr>
        <w:t>The judge may conduct initial interviews and excuse certain classes of people and certain occupational groups, as allowed under the laws of the particular jurisdiction.</w:t>
      </w:r>
    </w:p>
    <w:p w14:paraId="41052723" w14:textId="209FE557" w:rsidR="00A53060" w:rsidRDefault="00A53060" w:rsidP="00A53060">
      <w:pPr>
        <w:pStyle w:val="ListParagraph"/>
        <w:numPr>
          <w:ilvl w:val="4"/>
          <w:numId w:val="1"/>
        </w:numPr>
        <w:rPr>
          <w:rFonts w:ascii="Arial" w:hAnsi="Arial" w:cs="Arial"/>
        </w:rPr>
      </w:pPr>
      <w:r>
        <w:rPr>
          <w:rFonts w:ascii="Arial" w:hAnsi="Arial" w:cs="Arial"/>
        </w:rPr>
        <w:t>T</w:t>
      </w:r>
      <w:r w:rsidRPr="00A53060">
        <w:rPr>
          <w:rFonts w:ascii="Arial" w:hAnsi="Arial" w:cs="Arial"/>
        </w:rPr>
        <w:t xml:space="preserve">he opposing attorneys interview the prospective jurors in the process called </w:t>
      </w:r>
      <w:r w:rsidRPr="00A53060">
        <w:rPr>
          <w:rFonts w:ascii="Arial" w:hAnsi="Arial" w:cs="Arial"/>
          <w:i/>
          <w:iCs/>
        </w:rPr>
        <w:t>voir dire</w:t>
      </w:r>
      <w:r w:rsidRPr="00A53060">
        <w:rPr>
          <w:rFonts w:ascii="Arial" w:hAnsi="Arial" w:cs="Arial"/>
        </w:rPr>
        <w:t>.</w:t>
      </w:r>
    </w:p>
    <w:p w14:paraId="5D7E989A" w14:textId="01C17018" w:rsidR="00A53060" w:rsidRDefault="00A53060" w:rsidP="00A53060">
      <w:pPr>
        <w:pStyle w:val="ListParagraph"/>
        <w:numPr>
          <w:ilvl w:val="3"/>
          <w:numId w:val="1"/>
        </w:numPr>
        <w:rPr>
          <w:rFonts w:ascii="Arial" w:hAnsi="Arial" w:cs="Arial"/>
        </w:rPr>
      </w:pPr>
      <w:r w:rsidRPr="00A53060">
        <w:rPr>
          <w:rFonts w:ascii="Arial" w:hAnsi="Arial" w:cs="Arial"/>
        </w:rPr>
        <w:t>The objective of this long-standing process is to form a petit jury representing a cross section of the community.</w:t>
      </w:r>
    </w:p>
    <w:p w14:paraId="72CA5C73" w14:textId="28BF8538" w:rsidR="00A53060" w:rsidRDefault="00A53060" w:rsidP="00A53060">
      <w:pPr>
        <w:pStyle w:val="ListParagraph"/>
        <w:numPr>
          <w:ilvl w:val="3"/>
          <w:numId w:val="1"/>
        </w:numPr>
        <w:rPr>
          <w:rFonts w:ascii="Arial" w:hAnsi="Arial" w:cs="Arial"/>
        </w:rPr>
      </w:pPr>
      <w:r>
        <w:rPr>
          <w:rFonts w:ascii="Arial" w:hAnsi="Arial" w:cs="Arial"/>
        </w:rPr>
        <w:t>A</w:t>
      </w:r>
      <w:r w:rsidRPr="00A53060">
        <w:rPr>
          <w:rFonts w:ascii="Arial" w:hAnsi="Arial" w:cs="Arial"/>
        </w:rPr>
        <w:t>ttorneys, especially prosecutors, may use their peremptory challenges systematically to excuse Black</w:t>
      </w:r>
      <w:r>
        <w:rPr>
          <w:rFonts w:ascii="Arial" w:hAnsi="Arial" w:cs="Arial"/>
        </w:rPr>
        <w:t xml:space="preserve"> people</w:t>
      </w:r>
      <w:r w:rsidRPr="00A53060">
        <w:rPr>
          <w:rFonts w:ascii="Arial" w:hAnsi="Arial" w:cs="Arial"/>
        </w:rPr>
        <w:t xml:space="preserve"> and other people of color from juries.</w:t>
      </w:r>
    </w:p>
    <w:p w14:paraId="12C82065" w14:textId="7FB5EA60" w:rsidR="00A53060" w:rsidRDefault="00A53060" w:rsidP="00A53060">
      <w:pPr>
        <w:pStyle w:val="ListParagraph"/>
        <w:numPr>
          <w:ilvl w:val="3"/>
          <w:numId w:val="1"/>
        </w:numPr>
        <w:rPr>
          <w:rFonts w:ascii="Arial" w:hAnsi="Arial" w:cs="Arial"/>
        </w:rPr>
      </w:pPr>
      <w:r w:rsidRPr="00A53060">
        <w:rPr>
          <w:rFonts w:ascii="Arial" w:hAnsi="Arial" w:cs="Arial"/>
        </w:rPr>
        <w:t>Most courts refused to interfere with the traditional privilege of attorneys to excuse jurors for no specific reason, viewing it as part of a litigation strategy.</w:t>
      </w:r>
    </w:p>
    <w:p w14:paraId="4BF0FE41" w14:textId="77777777" w:rsidR="00FC7457" w:rsidRDefault="00FC7457" w:rsidP="00FC7457">
      <w:pPr>
        <w:pStyle w:val="ListParagraph"/>
        <w:numPr>
          <w:ilvl w:val="3"/>
          <w:numId w:val="1"/>
        </w:numPr>
        <w:rPr>
          <w:rFonts w:ascii="Arial" w:hAnsi="Arial" w:cs="Arial"/>
          <w:b/>
          <w:bCs/>
          <w:i/>
          <w:iCs/>
        </w:rPr>
      </w:pPr>
      <w:r w:rsidRPr="00FC7457">
        <w:rPr>
          <w:rFonts w:ascii="Arial" w:hAnsi="Arial" w:cs="Arial"/>
          <w:b/>
          <w:bCs/>
          <w:i/>
          <w:iCs/>
        </w:rPr>
        <w:t>Swain v. Alabama (1965)</w:t>
      </w:r>
    </w:p>
    <w:p w14:paraId="36F37DC9" w14:textId="348A2359" w:rsidR="00A53060" w:rsidRPr="00A53060" w:rsidRDefault="00A53060" w:rsidP="00A53060">
      <w:pPr>
        <w:pStyle w:val="ListParagraph"/>
        <w:numPr>
          <w:ilvl w:val="4"/>
          <w:numId w:val="1"/>
        </w:numPr>
        <w:rPr>
          <w:rFonts w:ascii="Arial" w:hAnsi="Arial" w:cs="Arial"/>
        </w:rPr>
      </w:pPr>
      <w:r w:rsidRPr="00A53060">
        <w:rPr>
          <w:rFonts w:ascii="Arial" w:hAnsi="Arial" w:cs="Arial"/>
        </w:rPr>
        <w:t>The U.S. Supreme Court</w:t>
      </w:r>
      <w:r>
        <w:rPr>
          <w:rFonts w:ascii="Arial" w:hAnsi="Arial" w:cs="Arial"/>
        </w:rPr>
        <w:t xml:space="preserve"> </w:t>
      </w:r>
      <w:r w:rsidRPr="00A53060">
        <w:rPr>
          <w:rFonts w:ascii="Arial" w:hAnsi="Arial" w:cs="Arial"/>
        </w:rPr>
        <w:t>reinforced this sentiment by making it difficult for judges to prohibit prosecutors from using the peremptory challenge to remove prospective jurors for reasons of race.</w:t>
      </w:r>
    </w:p>
    <w:p w14:paraId="7756EE62" w14:textId="77777777" w:rsidR="00FC7457" w:rsidRDefault="00FC7457" w:rsidP="00FC7457">
      <w:pPr>
        <w:pStyle w:val="ListParagraph"/>
        <w:numPr>
          <w:ilvl w:val="3"/>
          <w:numId w:val="1"/>
        </w:numPr>
        <w:rPr>
          <w:rFonts w:ascii="Arial" w:hAnsi="Arial" w:cs="Arial"/>
          <w:i/>
          <w:iCs/>
        </w:rPr>
      </w:pPr>
      <w:r w:rsidRPr="00FC7457">
        <w:rPr>
          <w:rFonts w:ascii="Arial" w:hAnsi="Arial" w:cs="Arial"/>
          <w:i/>
          <w:iCs/>
        </w:rPr>
        <w:t>Batson v. Kentucky</w:t>
      </w:r>
      <w:r>
        <w:rPr>
          <w:rFonts w:ascii="Arial" w:hAnsi="Arial" w:cs="Arial"/>
          <w:i/>
          <w:iCs/>
        </w:rPr>
        <w:t xml:space="preserve"> (1986)</w:t>
      </w:r>
    </w:p>
    <w:p w14:paraId="1D4BCC5F" w14:textId="5FC33343" w:rsidR="00A53060" w:rsidRDefault="00A53060" w:rsidP="00A53060">
      <w:pPr>
        <w:pStyle w:val="ListParagraph"/>
        <w:numPr>
          <w:ilvl w:val="4"/>
          <w:numId w:val="1"/>
        </w:numPr>
        <w:rPr>
          <w:rFonts w:ascii="Arial" w:hAnsi="Arial" w:cs="Arial"/>
        </w:rPr>
      </w:pPr>
      <w:r>
        <w:rPr>
          <w:rFonts w:ascii="Arial" w:hAnsi="Arial" w:cs="Arial"/>
        </w:rPr>
        <w:t>T</w:t>
      </w:r>
      <w:r w:rsidRPr="00A53060">
        <w:rPr>
          <w:rFonts w:ascii="Arial" w:hAnsi="Arial" w:cs="Arial"/>
        </w:rPr>
        <w:t>he Court reevaluated Swain and startled the legal community by holding that even peremptory challenges are subject to court scrutiny.</w:t>
      </w:r>
    </w:p>
    <w:p w14:paraId="14530CD4" w14:textId="77777777" w:rsidR="00A53060" w:rsidRDefault="00A53060" w:rsidP="00A53060">
      <w:pPr>
        <w:pStyle w:val="ListParagraph"/>
        <w:numPr>
          <w:ilvl w:val="4"/>
          <w:numId w:val="1"/>
        </w:numPr>
        <w:rPr>
          <w:rFonts w:ascii="Arial" w:hAnsi="Arial" w:cs="Arial"/>
        </w:rPr>
      </w:pPr>
      <w:r w:rsidRPr="00A53060">
        <w:rPr>
          <w:rFonts w:ascii="Arial" w:hAnsi="Arial" w:cs="Arial"/>
        </w:rPr>
        <w:t>Prior to this case, the justices generally refused to interfere with attorney exercise of peremptory challenges, even in the face of evidence that prosecutors often used them to exclude Black people from juries, as reported in Marshall’s concurrence.</w:t>
      </w:r>
    </w:p>
    <w:p w14:paraId="380E90D1" w14:textId="4C528206" w:rsidR="00A53060" w:rsidRDefault="00A53060" w:rsidP="00A53060">
      <w:pPr>
        <w:pStyle w:val="ListParagraph"/>
        <w:numPr>
          <w:ilvl w:val="4"/>
          <w:numId w:val="1"/>
        </w:numPr>
        <w:rPr>
          <w:rFonts w:ascii="Arial" w:hAnsi="Arial" w:cs="Arial"/>
        </w:rPr>
      </w:pPr>
      <w:r w:rsidRPr="00A53060">
        <w:rPr>
          <w:rFonts w:ascii="Arial" w:hAnsi="Arial" w:cs="Arial"/>
        </w:rPr>
        <w:t xml:space="preserve">In </w:t>
      </w:r>
      <w:r w:rsidRPr="00A53060">
        <w:rPr>
          <w:rFonts w:ascii="Arial" w:hAnsi="Arial" w:cs="Arial"/>
          <w:i/>
          <w:iCs/>
        </w:rPr>
        <w:t>Batson</w:t>
      </w:r>
      <w:r w:rsidRPr="00A53060">
        <w:rPr>
          <w:rFonts w:ascii="Arial" w:hAnsi="Arial" w:cs="Arial"/>
        </w:rPr>
        <w:t xml:space="preserve"> the justices reevaluated their approach and established a framework by which defendants could challenge prosecutors who appeared to be using their peremptory challenges in a racially discriminatory way.</w:t>
      </w:r>
    </w:p>
    <w:p w14:paraId="0C36D3D9" w14:textId="77777777" w:rsidR="00A53060" w:rsidRDefault="00A53060" w:rsidP="00A53060">
      <w:pPr>
        <w:pStyle w:val="ListParagraph"/>
        <w:numPr>
          <w:ilvl w:val="3"/>
          <w:numId w:val="1"/>
        </w:numPr>
        <w:rPr>
          <w:rFonts w:ascii="Arial" w:hAnsi="Arial" w:cs="Arial"/>
        </w:rPr>
      </w:pPr>
      <w:r w:rsidRPr="00A53060">
        <w:rPr>
          <w:rFonts w:ascii="Arial" w:hAnsi="Arial" w:cs="Arial"/>
          <w:i/>
          <w:iCs/>
        </w:rPr>
        <w:t>Powers v. Ohio (1991)</w:t>
      </w:r>
    </w:p>
    <w:p w14:paraId="2E6C61FF" w14:textId="16924A28" w:rsidR="00A53060" w:rsidRDefault="00A53060" w:rsidP="00A53060">
      <w:pPr>
        <w:pStyle w:val="ListParagraph"/>
        <w:numPr>
          <w:ilvl w:val="4"/>
          <w:numId w:val="1"/>
        </w:numPr>
        <w:rPr>
          <w:rFonts w:ascii="Arial" w:hAnsi="Arial" w:cs="Arial"/>
        </w:rPr>
      </w:pPr>
      <w:r>
        <w:rPr>
          <w:rFonts w:ascii="Arial" w:hAnsi="Arial" w:cs="Arial"/>
        </w:rPr>
        <w:t>The Court</w:t>
      </w:r>
      <w:r w:rsidRPr="00A53060">
        <w:rPr>
          <w:rFonts w:ascii="Arial" w:hAnsi="Arial" w:cs="Arial"/>
        </w:rPr>
        <w:t xml:space="preserve"> ruled that criminal defendants may object to race-based exclusion of jurors through peremptory challenges even when the defendant and the excluded juror belong to different racial groups.</w:t>
      </w:r>
    </w:p>
    <w:p w14:paraId="25D5A52F" w14:textId="132EA587" w:rsidR="00A53060" w:rsidRPr="00A53060" w:rsidRDefault="00A53060" w:rsidP="00A53060">
      <w:pPr>
        <w:pStyle w:val="ListParagraph"/>
        <w:numPr>
          <w:ilvl w:val="3"/>
          <w:numId w:val="1"/>
        </w:numPr>
        <w:rPr>
          <w:rFonts w:ascii="Arial" w:hAnsi="Arial" w:cs="Arial"/>
          <w:i/>
          <w:iCs/>
        </w:rPr>
      </w:pPr>
      <w:r w:rsidRPr="00A53060">
        <w:rPr>
          <w:rFonts w:ascii="Arial" w:hAnsi="Arial" w:cs="Arial"/>
          <w:i/>
          <w:iCs/>
        </w:rPr>
        <w:t>Edmonson v. Leesville Concrete Co (1991)</w:t>
      </w:r>
    </w:p>
    <w:p w14:paraId="74FB360E" w14:textId="78B85666" w:rsidR="00A53060" w:rsidRDefault="00A53060" w:rsidP="00A53060">
      <w:pPr>
        <w:pStyle w:val="ListParagraph"/>
        <w:numPr>
          <w:ilvl w:val="4"/>
          <w:numId w:val="1"/>
        </w:numPr>
        <w:rPr>
          <w:rFonts w:ascii="Arial" w:hAnsi="Arial" w:cs="Arial"/>
        </w:rPr>
      </w:pPr>
      <w:r>
        <w:rPr>
          <w:rFonts w:ascii="Arial" w:hAnsi="Arial" w:cs="Arial"/>
        </w:rPr>
        <w:t>T</w:t>
      </w:r>
      <w:r w:rsidRPr="00A53060">
        <w:rPr>
          <w:rFonts w:ascii="Arial" w:hAnsi="Arial" w:cs="Arial"/>
        </w:rPr>
        <w:t xml:space="preserve">he Court applied the </w:t>
      </w:r>
      <w:r w:rsidRPr="00A53060">
        <w:rPr>
          <w:rFonts w:ascii="Arial" w:hAnsi="Arial" w:cs="Arial"/>
          <w:i/>
          <w:iCs/>
        </w:rPr>
        <w:t>Batson</w:t>
      </w:r>
      <w:r w:rsidRPr="00A53060">
        <w:rPr>
          <w:rFonts w:ascii="Arial" w:hAnsi="Arial" w:cs="Arial"/>
        </w:rPr>
        <w:t xml:space="preserve"> framework to civil cases, holding that private litigants may not use their peremptory challenges in a racially biased manner</w:t>
      </w:r>
      <w:r>
        <w:rPr>
          <w:rFonts w:ascii="Arial" w:hAnsi="Arial" w:cs="Arial"/>
        </w:rPr>
        <w:t>.</w:t>
      </w:r>
    </w:p>
    <w:p w14:paraId="304D4DA8" w14:textId="53D1314E" w:rsidR="00A53060" w:rsidRPr="00A53060" w:rsidRDefault="00A53060" w:rsidP="00A53060">
      <w:pPr>
        <w:pStyle w:val="ListParagraph"/>
        <w:numPr>
          <w:ilvl w:val="3"/>
          <w:numId w:val="1"/>
        </w:numPr>
        <w:rPr>
          <w:rFonts w:ascii="Arial" w:hAnsi="Arial" w:cs="Arial"/>
          <w:i/>
          <w:iCs/>
        </w:rPr>
      </w:pPr>
      <w:r w:rsidRPr="00A53060">
        <w:rPr>
          <w:rFonts w:ascii="Arial" w:hAnsi="Arial" w:cs="Arial"/>
          <w:i/>
          <w:iCs/>
        </w:rPr>
        <w:lastRenderedPageBreak/>
        <w:t>Georgia v. McCollum (1992)</w:t>
      </w:r>
    </w:p>
    <w:p w14:paraId="69EB683B" w14:textId="361C53A8" w:rsidR="00A53060" w:rsidRPr="00A53060" w:rsidRDefault="00A53060" w:rsidP="00A53060">
      <w:pPr>
        <w:pStyle w:val="ListParagraph"/>
        <w:numPr>
          <w:ilvl w:val="4"/>
          <w:numId w:val="1"/>
        </w:numPr>
        <w:rPr>
          <w:rFonts w:ascii="Arial" w:hAnsi="Arial" w:cs="Arial"/>
        </w:rPr>
      </w:pPr>
      <w:r>
        <w:rPr>
          <w:rFonts w:ascii="Arial" w:hAnsi="Arial" w:cs="Arial"/>
        </w:rPr>
        <w:t>T</w:t>
      </w:r>
      <w:r w:rsidRPr="00A53060">
        <w:rPr>
          <w:rFonts w:ascii="Arial" w:hAnsi="Arial" w:cs="Arial"/>
        </w:rPr>
        <w:t>he Court held that the prosecution can stop the defense from exercising its peremptories to eliminate Black people from a jury.</w:t>
      </w:r>
    </w:p>
    <w:p w14:paraId="5D041F95" w14:textId="77777777" w:rsidR="00FC7457" w:rsidRDefault="00FC7457" w:rsidP="00FC7457">
      <w:pPr>
        <w:pStyle w:val="ListParagraph"/>
        <w:numPr>
          <w:ilvl w:val="3"/>
          <w:numId w:val="1"/>
        </w:numPr>
        <w:rPr>
          <w:rFonts w:ascii="Arial" w:hAnsi="Arial" w:cs="Arial"/>
          <w:b/>
          <w:bCs/>
          <w:i/>
          <w:iCs/>
        </w:rPr>
      </w:pPr>
      <w:r w:rsidRPr="00FC7457">
        <w:rPr>
          <w:rFonts w:ascii="Arial" w:hAnsi="Arial" w:cs="Arial"/>
          <w:b/>
          <w:bCs/>
          <w:i/>
          <w:iCs/>
        </w:rPr>
        <w:t>J.E.B. v. Alabama ex rel. T.B. (1994)</w:t>
      </w:r>
    </w:p>
    <w:p w14:paraId="1D024728" w14:textId="7DD93D2A" w:rsidR="00A53060" w:rsidRDefault="00A53060" w:rsidP="00A53060">
      <w:pPr>
        <w:pStyle w:val="ListParagraph"/>
        <w:numPr>
          <w:ilvl w:val="4"/>
          <w:numId w:val="1"/>
        </w:numPr>
        <w:rPr>
          <w:rFonts w:ascii="Arial" w:hAnsi="Arial" w:cs="Arial"/>
        </w:rPr>
      </w:pPr>
      <w:r>
        <w:rPr>
          <w:rFonts w:ascii="Arial" w:hAnsi="Arial" w:cs="Arial"/>
        </w:rPr>
        <w:t xml:space="preserve">The justices </w:t>
      </w:r>
      <w:r w:rsidRPr="00A53060">
        <w:rPr>
          <w:rFonts w:ascii="Arial" w:hAnsi="Arial" w:cs="Arial"/>
        </w:rPr>
        <w:t xml:space="preserve">applied </w:t>
      </w:r>
      <w:r w:rsidRPr="0061658A">
        <w:rPr>
          <w:rFonts w:ascii="Arial" w:hAnsi="Arial" w:cs="Arial"/>
          <w:i/>
          <w:iCs/>
        </w:rPr>
        <w:t>Batson</w:t>
      </w:r>
      <w:r w:rsidRPr="00A53060">
        <w:rPr>
          <w:rFonts w:ascii="Arial" w:hAnsi="Arial" w:cs="Arial"/>
        </w:rPr>
        <w:t xml:space="preserve"> to intentional sex discrimination in selecting jurors.</w:t>
      </w:r>
    </w:p>
    <w:p w14:paraId="7DA8B33C" w14:textId="023C8C3F" w:rsidR="00FC7457" w:rsidRPr="0061658A" w:rsidRDefault="00FC7457" w:rsidP="00FC7457">
      <w:pPr>
        <w:pStyle w:val="ListParagraph"/>
        <w:numPr>
          <w:ilvl w:val="3"/>
          <w:numId w:val="1"/>
        </w:numPr>
        <w:rPr>
          <w:rFonts w:ascii="Arial" w:hAnsi="Arial" w:cs="Arial"/>
        </w:rPr>
      </w:pPr>
      <w:r w:rsidRPr="00FC7457">
        <w:rPr>
          <w:rFonts w:ascii="Arial" w:hAnsi="Arial" w:cs="Arial"/>
          <w:b/>
          <w:bCs/>
          <w:i/>
          <w:iCs/>
        </w:rPr>
        <w:t>Flowers v. Mississippi (2019)</w:t>
      </w:r>
    </w:p>
    <w:p w14:paraId="05D3DB50" w14:textId="3130061D" w:rsidR="0061658A" w:rsidRDefault="0061658A" w:rsidP="0061658A">
      <w:pPr>
        <w:pStyle w:val="ListParagraph"/>
        <w:numPr>
          <w:ilvl w:val="4"/>
          <w:numId w:val="1"/>
        </w:numPr>
        <w:rPr>
          <w:rFonts w:ascii="Arial" w:hAnsi="Arial" w:cs="Arial"/>
        </w:rPr>
      </w:pPr>
      <w:r w:rsidRPr="0061658A">
        <w:rPr>
          <w:rFonts w:ascii="Arial" w:hAnsi="Arial" w:cs="Arial"/>
        </w:rPr>
        <w:t>Justice Kavanaugh, writing for the majority, emphasized the continuing importance of Batson</w:t>
      </w:r>
      <w:r>
        <w:rPr>
          <w:rFonts w:ascii="Arial" w:hAnsi="Arial" w:cs="Arial"/>
        </w:rPr>
        <w:t>.</w:t>
      </w:r>
    </w:p>
    <w:p w14:paraId="31ADFBF4" w14:textId="162EEE15" w:rsidR="00AB1B91" w:rsidRDefault="00AB1B91" w:rsidP="00AB1B91">
      <w:pPr>
        <w:pStyle w:val="ListParagraph"/>
        <w:numPr>
          <w:ilvl w:val="2"/>
          <w:numId w:val="1"/>
        </w:numPr>
        <w:rPr>
          <w:rFonts w:ascii="Arial" w:hAnsi="Arial" w:cs="Arial"/>
        </w:rPr>
      </w:pPr>
      <w:r w:rsidRPr="00AB1B91">
        <w:rPr>
          <w:rFonts w:ascii="Arial" w:hAnsi="Arial" w:cs="Arial"/>
        </w:rPr>
        <w:t>Jury Size</w:t>
      </w:r>
    </w:p>
    <w:p w14:paraId="34C645B6" w14:textId="1857C39D" w:rsidR="0061658A" w:rsidRDefault="0061658A" w:rsidP="0061658A">
      <w:pPr>
        <w:pStyle w:val="ListParagraph"/>
        <w:numPr>
          <w:ilvl w:val="3"/>
          <w:numId w:val="1"/>
        </w:numPr>
        <w:rPr>
          <w:rFonts w:ascii="Arial" w:hAnsi="Arial" w:cs="Arial"/>
        </w:rPr>
      </w:pPr>
      <w:r>
        <w:rPr>
          <w:rFonts w:ascii="Arial" w:hAnsi="Arial" w:cs="Arial"/>
        </w:rPr>
        <w:t>A</w:t>
      </w:r>
      <w:r w:rsidRPr="0061658A">
        <w:rPr>
          <w:rFonts w:ascii="Arial" w:hAnsi="Arial" w:cs="Arial"/>
        </w:rPr>
        <w:t xml:space="preserve"> long-standing tradition Americans adopted from the English is </w:t>
      </w:r>
      <w:r>
        <w:rPr>
          <w:rFonts w:ascii="Arial" w:hAnsi="Arial" w:cs="Arial"/>
        </w:rPr>
        <w:t xml:space="preserve">the </w:t>
      </w:r>
      <w:r w:rsidRPr="0061658A">
        <w:rPr>
          <w:rFonts w:ascii="Arial" w:hAnsi="Arial" w:cs="Arial"/>
        </w:rPr>
        <w:t>jury size</w:t>
      </w:r>
      <w:r>
        <w:rPr>
          <w:rFonts w:ascii="Arial" w:hAnsi="Arial" w:cs="Arial"/>
        </w:rPr>
        <w:t xml:space="preserve"> of twelve people</w:t>
      </w:r>
      <w:r w:rsidRPr="0061658A">
        <w:rPr>
          <w:rFonts w:ascii="Arial" w:hAnsi="Arial" w:cs="Arial"/>
        </w:rPr>
        <w:t>.</w:t>
      </w:r>
    </w:p>
    <w:p w14:paraId="3F413C68" w14:textId="786FDA90" w:rsidR="0061658A" w:rsidRDefault="0061658A" w:rsidP="0061658A">
      <w:pPr>
        <w:pStyle w:val="ListParagraph"/>
        <w:numPr>
          <w:ilvl w:val="3"/>
          <w:numId w:val="1"/>
        </w:numPr>
        <w:rPr>
          <w:rFonts w:ascii="Arial" w:hAnsi="Arial" w:cs="Arial"/>
        </w:rPr>
      </w:pPr>
      <w:r w:rsidRPr="0061658A">
        <w:rPr>
          <w:rFonts w:ascii="Arial" w:hAnsi="Arial" w:cs="Arial"/>
        </w:rPr>
        <w:t>Beginning in the mid-1960s</w:t>
      </w:r>
      <w:r>
        <w:rPr>
          <w:rFonts w:ascii="Arial" w:hAnsi="Arial" w:cs="Arial"/>
        </w:rPr>
        <w:t>,</w:t>
      </w:r>
      <w:r w:rsidRPr="0061658A">
        <w:rPr>
          <w:rFonts w:ascii="Arial" w:hAnsi="Arial" w:cs="Arial"/>
        </w:rPr>
        <w:t xml:space="preserve"> many states began to abandon this practice, substituting six-person juries in noncapital cases.</w:t>
      </w:r>
    </w:p>
    <w:p w14:paraId="2E159834" w14:textId="78E410E3" w:rsidR="0061658A" w:rsidRDefault="0061658A" w:rsidP="0061658A">
      <w:pPr>
        <w:pStyle w:val="ListParagraph"/>
        <w:numPr>
          <w:ilvl w:val="3"/>
          <w:numId w:val="1"/>
        </w:numPr>
        <w:rPr>
          <w:rFonts w:ascii="Arial" w:hAnsi="Arial" w:cs="Arial"/>
        </w:rPr>
      </w:pPr>
      <w:r w:rsidRPr="0061658A">
        <w:rPr>
          <w:rFonts w:ascii="Arial" w:hAnsi="Arial" w:cs="Arial"/>
        </w:rPr>
        <w:t>These states reasoned that six-person juries would be more economical, faster, and more likely to reach a verdict.</w:t>
      </w:r>
    </w:p>
    <w:p w14:paraId="690ACE94" w14:textId="7E72946C" w:rsidR="00FC7457" w:rsidRDefault="00FC7457" w:rsidP="00FC7457">
      <w:pPr>
        <w:pStyle w:val="ListParagraph"/>
        <w:numPr>
          <w:ilvl w:val="3"/>
          <w:numId w:val="1"/>
        </w:numPr>
        <w:rPr>
          <w:rFonts w:ascii="Arial" w:hAnsi="Arial" w:cs="Arial"/>
          <w:b/>
          <w:bCs/>
          <w:i/>
          <w:iCs/>
        </w:rPr>
      </w:pPr>
      <w:r w:rsidRPr="00FC7457">
        <w:rPr>
          <w:rFonts w:ascii="Arial" w:hAnsi="Arial" w:cs="Arial"/>
          <w:b/>
          <w:bCs/>
          <w:i/>
          <w:iCs/>
        </w:rPr>
        <w:t>Williams v. Florida (1970)</w:t>
      </w:r>
    </w:p>
    <w:p w14:paraId="7E111F81" w14:textId="7470880F" w:rsidR="0061658A" w:rsidRDefault="0061658A" w:rsidP="0061658A">
      <w:pPr>
        <w:pStyle w:val="ListParagraph"/>
        <w:numPr>
          <w:ilvl w:val="4"/>
          <w:numId w:val="1"/>
        </w:numPr>
        <w:rPr>
          <w:rFonts w:ascii="Arial" w:hAnsi="Arial" w:cs="Arial"/>
        </w:rPr>
      </w:pPr>
      <w:r w:rsidRPr="0061658A">
        <w:rPr>
          <w:rFonts w:ascii="Arial" w:hAnsi="Arial" w:cs="Arial"/>
        </w:rPr>
        <w:t>This case was a 1970 appeal from a robbery conviction</w:t>
      </w:r>
      <w:r>
        <w:rPr>
          <w:rFonts w:ascii="Arial" w:hAnsi="Arial" w:cs="Arial"/>
        </w:rPr>
        <w:t>.</w:t>
      </w:r>
    </w:p>
    <w:p w14:paraId="278DF44D" w14:textId="13185BE2" w:rsidR="0061658A" w:rsidRDefault="0061658A" w:rsidP="0061658A">
      <w:pPr>
        <w:pStyle w:val="ListParagraph"/>
        <w:numPr>
          <w:ilvl w:val="4"/>
          <w:numId w:val="1"/>
        </w:numPr>
        <w:rPr>
          <w:rFonts w:ascii="Arial" w:hAnsi="Arial" w:cs="Arial"/>
        </w:rPr>
      </w:pPr>
      <w:r w:rsidRPr="0061658A">
        <w:rPr>
          <w:rFonts w:ascii="Arial" w:hAnsi="Arial" w:cs="Arial"/>
        </w:rPr>
        <w:t>Justice White explained that the number twelve had no special constitutional significance.</w:t>
      </w:r>
    </w:p>
    <w:p w14:paraId="31B2F575" w14:textId="3470DA5E" w:rsidR="0061658A" w:rsidRPr="0061658A" w:rsidRDefault="0061658A" w:rsidP="0061658A">
      <w:pPr>
        <w:pStyle w:val="ListParagraph"/>
        <w:numPr>
          <w:ilvl w:val="4"/>
          <w:numId w:val="1"/>
        </w:numPr>
        <w:rPr>
          <w:rFonts w:ascii="Arial" w:hAnsi="Arial" w:cs="Arial"/>
        </w:rPr>
      </w:pPr>
      <w:r w:rsidRPr="0061658A">
        <w:rPr>
          <w:rFonts w:ascii="Arial" w:hAnsi="Arial" w:cs="Arial"/>
        </w:rPr>
        <w:t>All the Constitution requires, according to the Court, is a jury sufficiently large to allow actual deliberation and to represent a cross section of the community.</w:t>
      </w:r>
    </w:p>
    <w:p w14:paraId="2D8BCB94" w14:textId="78E5E930" w:rsidR="00AB1B91" w:rsidRDefault="00AB1B91" w:rsidP="00AB1B91">
      <w:pPr>
        <w:pStyle w:val="ListParagraph"/>
        <w:numPr>
          <w:ilvl w:val="2"/>
          <w:numId w:val="1"/>
        </w:numPr>
        <w:rPr>
          <w:rFonts w:ascii="Arial" w:hAnsi="Arial" w:cs="Arial"/>
        </w:rPr>
      </w:pPr>
      <w:r w:rsidRPr="00AB1B91">
        <w:rPr>
          <w:rFonts w:ascii="Arial" w:hAnsi="Arial" w:cs="Arial"/>
        </w:rPr>
        <w:t>Jury Verdicts</w:t>
      </w:r>
    </w:p>
    <w:p w14:paraId="61445E05" w14:textId="3465B4C9" w:rsidR="0061658A" w:rsidRDefault="0061658A" w:rsidP="0061658A">
      <w:pPr>
        <w:pStyle w:val="ListParagraph"/>
        <w:numPr>
          <w:ilvl w:val="3"/>
          <w:numId w:val="1"/>
        </w:numPr>
        <w:rPr>
          <w:rFonts w:ascii="Arial" w:hAnsi="Arial" w:cs="Arial"/>
        </w:rPr>
      </w:pPr>
      <w:r w:rsidRPr="0061658A">
        <w:rPr>
          <w:rFonts w:ascii="Arial" w:hAnsi="Arial" w:cs="Arial"/>
        </w:rPr>
        <w:t>Following the English tradition, the framers thought juries should reach unanimous verdicts or none at all.</w:t>
      </w:r>
    </w:p>
    <w:p w14:paraId="04825165" w14:textId="1D4CEBF8" w:rsidR="0061658A" w:rsidRDefault="0061658A" w:rsidP="0061658A">
      <w:pPr>
        <w:pStyle w:val="ListParagraph"/>
        <w:numPr>
          <w:ilvl w:val="3"/>
          <w:numId w:val="1"/>
        </w:numPr>
        <w:rPr>
          <w:rFonts w:ascii="Arial" w:hAnsi="Arial" w:cs="Arial"/>
        </w:rPr>
      </w:pPr>
      <w:r w:rsidRPr="0061658A">
        <w:rPr>
          <w:rFonts w:ascii="Arial" w:hAnsi="Arial" w:cs="Arial"/>
        </w:rPr>
        <w:t>If a jury cannot reach a unanimous verdict, the judge declares the jury “hung” and the prosecutor either schedules a retrial or releases the defendant.</w:t>
      </w:r>
    </w:p>
    <w:p w14:paraId="0344DAF7" w14:textId="2D29B94D" w:rsidR="0061658A" w:rsidRDefault="0061658A" w:rsidP="0061658A">
      <w:pPr>
        <w:pStyle w:val="ListParagraph"/>
        <w:numPr>
          <w:ilvl w:val="3"/>
          <w:numId w:val="1"/>
        </w:numPr>
        <w:rPr>
          <w:rFonts w:ascii="Arial" w:hAnsi="Arial" w:cs="Arial"/>
        </w:rPr>
      </w:pPr>
      <w:r w:rsidRPr="0061658A">
        <w:rPr>
          <w:rFonts w:ascii="Arial" w:hAnsi="Arial" w:cs="Arial"/>
        </w:rPr>
        <w:t xml:space="preserve">Long ago, </w:t>
      </w:r>
      <w:r>
        <w:rPr>
          <w:rFonts w:ascii="Arial" w:hAnsi="Arial" w:cs="Arial"/>
        </w:rPr>
        <w:t>Louisiana and Oregon</w:t>
      </w:r>
      <w:r w:rsidRPr="0061658A">
        <w:rPr>
          <w:rFonts w:ascii="Arial" w:hAnsi="Arial" w:cs="Arial"/>
        </w:rPr>
        <w:t xml:space="preserve"> altered the unanimity rule for twelve-person juries, requiring instead the agreement of nine or ten of the twelve.</w:t>
      </w:r>
    </w:p>
    <w:p w14:paraId="597462EF" w14:textId="257F7C68" w:rsidR="0061658A" w:rsidRDefault="0061658A" w:rsidP="0061658A">
      <w:pPr>
        <w:pStyle w:val="ListParagraph"/>
        <w:numPr>
          <w:ilvl w:val="3"/>
          <w:numId w:val="1"/>
        </w:numPr>
        <w:rPr>
          <w:rFonts w:ascii="Arial" w:hAnsi="Arial" w:cs="Arial"/>
        </w:rPr>
      </w:pPr>
      <w:r>
        <w:rPr>
          <w:rFonts w:ascii="Arial" w:hAnsi="Arial" w:cs="Arial"/>
        </w:rPr>
        <w:t xml:space="preserve">Both states </w:t>
      </w:r>
      <w:r w:rsidR="000571FC">
        <w:rPr>
          <w:rFonts w:ascii="Arial" w:hAnsi="Arial" w:cs="Arial"/>
        </w:rPr>
        <w:t>adopted these policies to prevent Black jurors f</w:t>
      </w:r>
      <w:r w:rsidR="00D80DCA">
        <w:rPr>
          <w:rFonts w:ascii="Arial" w:hAnsi="Arial" w:cs="Arial"/>
        </w:rPr>
        <w:t>rom</w:t>
      </w:r>
      <w:r w:rsidR="000571FC">
        <w:rPr>
          <w:rFonts w:ascii="Arial" w:hAnsi="Arial" w:cs="Arial"/>
        </w:rPr>
        <w:t xml:space="preserve"> affecting decisions.</w:t>
      </w:r>
    </w:p>
    <w:p w14:paraId="52F30F5D" w14:textId="0414B355" w:rsidR="00FC7457" w:rsidRDefault="00FC7457" w:rsidP="00FC7457">
      <w:pPr>
        <w:pStyle w:val="ListParagraph"/>
        <w:numPr>
          <w:ilvl w:val="3"/>
          <w:numId w:val="1"/>
        </w:numPr>
        <w:rPr>
          <w:rFonts w:ascii="Arial" w:hAnsi="Arial" w:cs="Arial"/>
          <w:b/>
          <w:bCs/>
          <w:i/>
          <w:iCs/>
        </w:rPr>
      </w:pPr>
      <w:r w:rsidRPr="00FC7457">
        <w:rPr>
          <w:rFonts w:ascii="Arial" w:hAnsi="Arial" w:cs="Arial"/>
          <w:b/>
          <w:bCs/>
          <w:i/>
          <w:iCs/>
        </w:rPr>
        <w:t xml:space="preserve">Johnson v. Louisiana </w:t>
      </w:r>
      <w:r w:rsidRPr="0061658A">
        <w:rPr>
          <w:rFonts w:ascii="Arial" w:hAnsi="Arial" w:cs="Arial"/>
        </w:rPr>
        <w:t>and</w:t>
      </w:r>
      <w:r w:rsidRPr="00FC7457">
        <w:rPr>
          <w:rFonts w:ascii="Arial" w:hAnsi="Arial" w:cs="Arial"/>
          <w:b/>
          <w:bCs/>
          <w:i/>
          <w:iCs/>
        </w:rPr>
        <w:t xml:space="preserve"> Apodaca v. Oregon (1972)</w:t>
      </w:r>
    </w:p>
    <w:p w14:paraId="3D90F6B5" w14:textId="2F3C9918" w:rsidR="0061658A" w:rsidRDefault="0061658A" w:rsidP="0061658A">
      <w:pPr>
        <w:pStyle w:val="ListParagraph"/>
        <w:numPr>
          <w:ilvl w:val="4"/>
          <w:numId w:val="1"/>
        </w:numPr>
        <w:rPr>
          <w:rFonts w:ascii="Arial" w:hAnsi="Arial" w:cs="Arial"/>
        </w:rPr>
      </w:pPr>
      <w:r>
        <w:rPr>
          <w:rFonts w:ascii="Arial" w:hAnsi="Arial" w:cs="Arial"/>
        </w:rPr>
        <w:t>A</w:t>
      </w:r>
      <w:r w:rsidRPr="0061658A">
        <w:rPr>
          <w:rFonts w:ascii="Arial" w:hAnsi="Arial" w:cs="Arial"/>
        </w:rPr>
        <w:t xml:space="preserve"> divided Court held that non-unanimous verdicts were constitutional.</w:t>
      </w:r>
    </w:p>
    <w:p w14:paraId="7984C555" w14:textId="3D0C279E" w:rsidR="000571FC" w:rsidRPr="0061658A" w:rsidRDefault="000571FC" w:rsidP="0061658A">
      <w:pPr>
        <w:pStyle w:val="ListParagraph"/>
        <w:numPr>
          <w:ilvl w:val="4"/>
          <w:numId w:val="1"/>
        </w:numPr>
        <w:rPr>
          <w:rFonts w:ascii="Arial" w:hAnsi="Arial" w:cs="Arial"/>
        </w:rPr>
      </w:pPr>
      <w:r w:rsidRPr="000571FC">
        <w:rPr>
          <w:rFonts w:ascii="Arial" w:hAnsi="Arial" w:cs="Arial"/>
        </w:rPr>
        <w:t>Neither the majority nor the dissenters mentioned the racist origins of these rules</w:t>
      </w:r>
      <w:r>
        <w:rPr>
          <w:rFonts w:ascii="Arial" w:hAnsi="Arial" w:cs="Arial"/>
        </w:rPr>
        <w:t>.</w:t>
      </w:r>
    </w:p>
    <w:p w14:paraId="0746024F" w14:textId="4F0FE581" w:rsidR="00D00705" w:rsidRDefault="00D00705" w:rsidP="00FC7457">
      <w:pPr>
        <w:pStyle w:val="ListParagraph"/>
        <w:numPr>
          <w:ilvl w:val="3"/>
          <w:numId w:val="1"/>
        </w:numPr>
        <w:rPr>
          <w:rFonts w:ascii="Arial" w:hAnsi="Arial" w:cs="Arial"/>
          <w:b/>
          <w:bCs/>
          <w:i/>
          <w:iCs/>
        </w:rPr>
      </w:pPr>
      <w:r w:rsidRPr="00D00705">
        <w:rPr>
          <w:rFonts w:ascii="Arial" w:hAnsi="Arial" w:cs="Arial"/>
          <w:b/>
          <w:bCs/>
          <w:i/>
          <w:iCs/>
        </w:rPr>
        <w:t>Ramos v. Louisiana</w:t>
      </w:r>
      <w:r>
        <w:rPr>
          <w:rFonts w:ascii="Arial" w:hAnsi="Arial" w:cs="Arial"/>
          <w:b/>
          <w:bCs/>
          <w:i/>
          <w:iCs/>
        </w:rPr>
        <w:t xml:space="preserve"> (2020)</w:t>
      </w:r>
    </w:p>
    <w:p w14:paraId="6483D6C7" w14:textId="6B11D058" w:rsidR="000571FC" w:rsidRDefault="000571FC" w:rsidP="000571FC">
      <w:pPr>
        <w:pStyle w:val="ListParagraph"/>
        <w:numPr>
          <w:ilvl w:val="4"/>
          <w:numId w:val="1"/>
        </w:numPr>
        <w:rPr>
          <w:rFonts w:ascii="Arial" w:hAnsi="Arial" w:cs="Arial"/>
        </w:rPr>
      </w:pPr>
      <w:r w:rsidRPr="000571FC">
        <w:rPr>
          <w:rFonts w:ascii="Arial" w:hAnsi="Arial" w:cs="Arial"/>
        </w:rPr>
        <w:t>The court conclud</w:t>
      </w:r>
      <w:r>
        <w:rPr>
          <w:rFonts w:ascii="Arial" w:hAnsi="Arial" w:cs="Arial"/>
        </w:rPr>
        <w:t>ed</w:t>
      </w:r>
      <w:r w:rsidRPr="000571FC">
        <w:rPr>
          <w:rFonts w:ascii="Arial" w:hAnsi="Arial" w:cs="Arial"/>
        </w:rPr>
        <w:t xml:space="preserve"> that </w:t>
      </w:r>
      <w:r w:rsidRPr="000571FC">
        <w:rPr>
          <w:rFonts w:ascii="Arial" w:hAnsi="Arial" w:cs="Arial"/>
          <w:i/>
          <w:iCs/>
        </w:rPr>
        <w:t>Johnson</w:t>
      </w:r>
      <w:r w:rsidRPr="000571FC">
        <w:rPr>
          <w:rFonts w:ascii="Arial" w:hAnsi="Arial" w:cs="Arial"/>
        </w:rPr>
        <w:t xml:space="preserve"> and </w:t>
      </w:r>
      <w:r w:rsidRPr="000571FC">
        <w:rPr>
          <w:rFonts w:ascii="Arial" w:hAnsi="Arial" w:cs="Arial"/>
          <w:i/>
          <w:iCs/>
        </w:rPr>
        <w:t>Apodaca</w:t>
      </w:r>
      <w:r w:rsidRPr="000571FC">
        <w:rPr>
          <w:rFonts w:ascii="Arial" w:hAnsi="Arial" w:cs="Arial"/>
        </w:rPr>
        <w:t xml:space="preserve"> had been wrongly decided.</w:t>
      </w:r>
    </w:p>
    <w:p w14:paraId="6068A92E" w14:textId="77777777" w:rsidR="000571FC" w:rsidRDefault="000571FC" w:rsidP="000571FC">
      <w:pPr>
        <w:pStyle w:val="ListParagraph"/>
        <w:numPr>
          <w:ilvl w:val="4"/>
          <w:numId w:val="1"/>
        </w:numPr>
        <w:rPr>
          <w:rFonts w:ascii="Arial" w:hAnsi="Arial" w:cs="Arial"/>
        </w:rPr>
      </w:pPr>
      <w:r>
        <w:rPr>
          <w:rFonts w:ascii="Arial" w:hAnsi="Arial" w:cs="Arial"/>
        </w:rPr>
        <w:lastRenderedPageBreak/>
        <w:t>T</w:t>
      </w:r>
      <w:r w:rsidRPr="000571FC">
        <w:rPr>
          <w:rFonts w:ascii="Arial" w:hAnsi="Arial" w:cs="Arial"/>
        </w:rPr>
        <w:t>he Court acknowledge</w:t>
      </w:r>
      <w:r>
        <w:rPr>
          <w:rFonts w:ascii="Arial" w:hAnsi="Arial" w:cs="Arial"/>
        </w:rPr>
        <w:t>d</w:t>
      </w:r>
      <w:r w:rsidRPr="000571FC">
        <w:rPr>
          <w:rFonts w:ascii="Arial" w:hAnsi="Arial" w:cs="Arial"/>
        </w:rPr>
        <w:t xml:space="preserve"> that the non-unanimous rules traced to a desire to blunt the influence of people of color on juries</w:t>
      </w:r>
      <w:r>
        <w:rPr>
          <w:rFonts w:ascii="Arial" w:hAnsi="Arial" w:cs="Arial"/>
        </w:rPr>
        <w:t>.</w:t>
      </w:r>
    </w:p>
    <w:p w14:paraId="7B7B4B92" w14:textId="7441FCDA" w:rsidR="000571FC" w:rsidRPr="000571FC" w:rsidRDefault="000571FC" w:rsidP="000571FC">
      <w:pPr>
        <w:pStyle w:val="ListParagraph"/>
        <w:numPr>
          <w:ilvl w:val="4"/>
          <w:numId w:val="1"/>
        </w:numPr>
        <w:rPr>
          <w:rFonts w:ascii="Arial" w:hAnsi="Arial" w:cs="Arial"/>
        </w:rPr>
      </w:pPr>
      <w:r>
        <w:rPr>
          <w:rFonts w:ascii="Arial" w:hAnsi="Arial" w:cs="Arial"/>
        </w:rPr>
        <w:t>I</w:t>
      </w:r>
      <w:r w:rsidRPr="000571FC">
        <w:rPr>
          <w:rFonts w:ascii="Arial" w:hAnsi="Arial" w:cs="Arial"/>
        </w:rPr>
        <w:t>t had little difficulty concluding that the rules violate the Constitution</w:t>
      </w:r>
      <w:r>
        <w:rPr>
          <w:rFonts w:ascii="Arial" w:hAnsi="Arial" w:cs="Arial"/>
        </w:rPr>
        <w:t>.</w:t>
      </w:r>
    </w:p>
    <w:p w14:paraId="59205B2D" w14:textId="62A6C5BC" w:rsidR="00AB1B91" w:rsidRDefault="00AB1B91" w:rsidP="00AB1B91">
      <w:pPr>
        <w:pStyle w:val="ListParagraph"/>
        <w:numPr>
          <w:ilvl w:val="1"/>
          <w:numId w:val="1"/>
        </w:numPr>
        <w:rPr>
          <w:rFonts w:ascii="Arial" w:hAnsi="Arial" w:cs="Arial"/>
        </w:rPr>
      </w:pPr>
      <w:r w:rsidRPr="00AB1B91">
        <w:rPr>
          <w:rFonts w:ascii="Arial" w:hAnsi="Arial" w:cs="Arial"/>
        </w:rPr>
        <w:t>Impartial Juries</w:t>
      </w:r>
    </w:p>
    <w:p w14:paraId="1BB4A870" w14:textId="2AA8C264" w:rsidR="00AB1B91" w:rsidRDefault="00AB1B91" w:rsidP="00AB1B91">
      <w:pPr>
        <w:pStyle w:val="ListParagraph"/>
        <w:numPr>
          <w:ilvl w:val="2"/>
          <w:numId w:val="1"/>
        </w:numPr>
        <w:rPr>
          <w:rFonts w:ascii="Arial" w:hAnsi="Arial" w:cs="Arial"/>
        </w:rPr>
      </w:pPr>
      <w:r w:rsidRPr="00AB1B91">
        <w:rPr>
          <w:rFonts w:ascii="Arial" w:hAnsi="Arial" w:cs="Arial"/>
          <w:i/>
          <w:iCs/>
        </w:rPr>
        <w:t>Press v. Jury</w:t>
      </w:r>
      <w:r w:rsidRPr="00AB1B91">
        <w:rPr>
          <w:rFonts w:ascii="Arial" w:hAnsi="Arial" w:cs="Arial"/>
        </w:rPr>
        <w:t>: The Warren Court</w:t>
      </w:r>
    </w:p>
    <w:p w14:paraId="2F5A1068" w14:textId="038B68E4" w:rsidR="000571FC" w:rsidRDefault="000571FC" w:rsidP="000571FC">
      <w:pPr>
        <w:pStyle w:val="ListParagraph"/>
        <w:numPr>
          <w:ilvl w:val="3"/>
          <w:numId w:val="1"/>
        </w:numPr>
        <w:rPr>
          <w:rFonts w:ascii="Arial" w:hAnsi="Arial" w:cs="Arial"/>
        </w:rPr>
      </w:pPr>
      <w:r w:rsidRPr="000571FC">
        <w:rPr>
          <w:rFonts w:ascii="Arial" w:hAnsi="Arial" w:cs="Arial"/>
        </w:rPr>
        <w:t>Before the mid-1960s, no balance existed between freedom of the press and the right to an impartial jury—the former far outweighed the latter.</w:t>
      </w:r>
    </w:p>
    <w:p w14:paraId="55ECA24C" w14:textId="54188A34" w:rsidR="000571FC" w:rsidRDefault="000571FC" w:rsidP="000571FC">
      <w:pPr>
        <w:pStyle w:val="ListParagraph"/>
        <w:numPr>
          <w:ilvl w:val="3"/>
          <w:numId w:val="1"/>
        </w:numPr>
        <w:rPr>
          <w:rFonts w:ascii="Arial" w:hAnsi="Arial" w:cs="Arial"/>
        </w:rPr>
      </w:pPr>
      <w:r>
        <w:rPr>
          <w:rFonts w:ascii="Arial" w:hAnsi="Arial" w:cs="Arial"/>
        </w:rPr>
        <w:t>R</w:t>
      </w:r>
      <w:r w:rsidRPr="000571FC">
        <w:rPr>
          <w:rFonts w:ascii="Arial" w:hAnsi="Arial" w:cs="Arial"/>
        </w:rPr>
        <w:t>eporters, accompanied by crews carrying bulky, noisy equipment, simply showed up and interviewed and photographed witnesses and other participants at will.</w:t>
      </w:r>
    </w:p>
    <w:p w14:paraId="773B94F4" w14:textId="482F4FDD" w:rsidR="00D00705" w:rsidRDefault="00D00705" w:rsidP="00D00705">
      <w:pPr>
        <w:pStyle w:val="ListParagraph"/>
        <w:numPr>
          <w:ilvl w:val="3"/>
          <w:numId w:val="1"/>
        </w:numPr>
        <w:rPr>
          <w:rFonts w:ascii="Arial" w:hAnsi="Arial" w:cs="Arial"/>
          <w:i/>
          <w:iCs/>
        </w:rPr>
      </w:pPr>
      <w:r w:rsidRPr="00D00705">
        <w:rPr>
          <w:rFonts w:ascii="Arial" w:hAnsi="Arial" w:cs="Arial"/>
          <w:i/>
          <w:iCs/>
        </w:rPr>
        <w:t>Sheppard v. Maxwell (1966)</w:t>
      </w:r>
    </w:p>
    <w:p w14:paraId="4DA09472" w14:textId="413F2768" w:rsidR="000571FC" w:rsidRDefault="000571FC" w:rsidP="000571FC">
      <w:pPr>
        <w:pStyle w:val="ListParagraph"/>
        <w:numPr>
          <w:ilvl w:val="4"/>
          <w:numId w:val="1"/>
        </w:numPr>
        <w:rPr>
          <w:rFonts w:ascii="Arial" w:hAnsi="Arial" w:cs="Arial"/>
        </w:rPr>
      </w:pPr>
      <w:r w:rsidRPr="000571FC">
        <w:rPr>
          <w:rFonts w:ascii="Arial" w:hAnsi="Arial" w:cs="Arial"/>
        </w:rPr>
        <w:t>This case is the Warren Court’s strongest statement on this clash of rights.</w:t>
      </w:r>
    </w:p>
    <w:p w14:paraId="49098CA0" w14:textId="0AE14344" w:rsidR="000571FC" w:rsidRDefault="000571FC" w:rsidP="000571FC">
      <w:pPr>
        <w:pStyle w:val="ListParagraph"/>
        <w:numPr>
          <w:ilvl w:val="4"/>
          <w:numId w:val="1"/>
        </w:numPr>
        <w:rPr>
          <w:rFonts w:ascii="Arial" w:hAnsi="Arial" w:cs="Arial"/>
        </w:rPr>
      </w:pPr>
      <w:r w:rsidRPr="000571FC">
        <w:rPr>
          <w:rFonts w:ascii="Arial" w:hAnsi="Arial" w:cs="Arial"/>
        </w:rPr>
        <w:t>The Supreme Court’s ruling ordered Sheppard, who had already spent ten years behind bars, released from prison.</w:t>
      </w:r>
    </w:p>
    <w:p w14:paraId="1755C649" w14:textId="3C7FF016" w:rsidR="000571FC" w:rsidRPr="000571FC" w:rsidRDefault="000571FC" w:rsidP="000571FC">
      <w:pPr>
        <w:pStyle w:val="ListParagraph"/>
        <w:numPr>
          <w:ilvl w:val="4"/>
          <w:numId w:val="1"/>
        </w:numPr>
        <w:rPr>
          <w:rFonts w:ascii="Arial" w:hAnsi="Arial" w:cs="Arial"/>
        </w:rPr>
      </w:pPr>
      <w:r w:rsidRPr="000571FC">
        <w:rPr>
          <w:rFonts w:ascii="Arial" w:hAnsi="Arial" w:cs="Arial"/>
          <w:i/>
          <w:iCs/>
        </w:rPr>
        <w:t>Sheppard</w:t>
      </w:r>
      <w:r w:rsidRPr="000571FC">
        <w:rPr>
          <w:rFonts w:ascii="Arial" w:hAnsi="Arial" w:cs="Arial"/>
        </w:rPr>
        <w:t xml:space="preserve"> provides lower court judges with real ammunition to combat the dangers of an overzealous press.</w:t>
      </w:r>
    </w:p>
    <w:p w14:paraId="0CB7E637" w14:textId="14EFEA72" w:rsidR="00AB1B91" w:rsidRDefault="00AB1B91" w:rsidP="00AB1B91">
      <w:pPr>
        <w:pStyle w:val="ListParagraph"/>
        <w:numPr>
          <w:ilvl w:val="2"/>
          <w:numId w:val="1"/>
        </w:numPr>
        <w:rPr>
          <w:rFonts w:ascii="Arial" w:hAnsi="Arial" w:cs="Arial"/>
        </w:rPr>
      </w:pPr>
      <w:r w:rsidRPr="00AB1B91">
        <w:rPr>
          <w:rFonts w:ascii="Arial" w:hAnsi="Arial" w:cs="Arial"/>
          <w:i/>
          <w:iCs/>
        </w:rPr>
        <w:t>Press v. Jury</w:t>
      </w:r>
      <w:r w:rsidRPr="00AB1B91">
        <w:rPr>
          <w:rFonts w:ascii="Arial" w:hAnsi="Arial" w:cs="Arial"/>
        </w:rPr>
        <w:t>: After Sheppard</w:t>
      </w:r>
    </w:p>
    <w:p w14:paraId="779299AD" w14:textId="1A12E21E" w:rsidR="000571FC" w:rsidRPr="000571FC" w:rsidRDefault="000571FC" w:rsidP="00D00705">
      <w:pPr>
        <w:pStyle w:val="ListParagraph"/>
        <w:numPr>
          <w:ilvl w:val="3"/>
          <w:numId w:val="1"/>
        </w:numPr>
        <w:rPr>
          <w:rFonts w:ascii="Arial" w:hAnsi="Arial" w:cs="Arial"/>
          <w:i/>
          <w:iCs/>
        </w:rPr>
      </w:pPr>
      <w:r w:rsidRPr="000571FC">
        <w:rPr>
          <w:rFonts w:ascii="Arial" w:hAnsi="Arial" w:cs="Arial"/>
          <w:i/>
          <w:iCs/>
        </w:rPr>
        <w:t>Gannett Co. v. DePasquale</w:t>
      </w:r>
      <w:r>
        <w:rPr>
          <w:rFonts w:ascii="Arial" w:hAnsi="Arial" w:cs="Arial"/>
          <w:i/>
          <w:iCs/>
        </w:rPr>
        <w:t xml:space="preserve"> (1979)</w:t>
      </w:r>
    </w:p>
    <w:p w14:paraId="7CC8E4C5" w14:textId="77777777" w:rsidR="000571FC" w:rsidRPr="000571FC" w:rsidRDefault="000571FC" w:rsidP="000571FC">
      <w:pPr>
        <w:pStyle w:val="ListParagraph"/>
        <w:numPr>
          <w:ilvl w:val="4"/>
          <w:numId w:val="1"/>
        </w:numPr>
        <w:rPr>
          <w:rFonts w:ascii="Arial" w:hAnsi="Arial" w:cs="Arial"/>
        </w:rPr>
      </w:pPr>
      <w:r w:rsidRPr="000571FC">
        <w:rPr>
          <w:rFonts w:ascii="Arial" w:hAnsi="Arial" w:cs="Arial"/>
        </w:rPr>
        <w:t>A newspaper company asked the Court to prohibit a judge from closing the pretrial hearings for a highly publicized case.</w:t>
      </w:r>
    </w:p>
    <w:p w14:paraId="27B5BFDB" w14:textId="77777777" w:rsidR="000571FC" w:rsidRPr="000571FC" w:rsidRDefault="000571FC" w:rsidP="000571FC">
      <w:pPr>
        <w:pStyle w:val="ListParagraph"/>
        <w:numPr>
          <w:ilvl w:val="4"/>
          <w:numId w:val="1"/>
        </w:numPr>
        <w:rPr>
          <w:rFonts w:ascii="Arial" w:hAnsi="Arial" w:cs="Arial"/>
        </w:rPr>
      </w:pPr>
      <w:r w:rsidRPr="000571FC">
        <w:rPr>
          <w:rFonts w:ascii="Arial" w:hAnsi="Arial" w:cs="Arial"/>
        </w:rPr>
        <w:t>Writing for a majority of the Court, however, Justice Potter Stewart declined to do so.</w:t>
      </w:r>
    </w:p>
    <w:p w14:paraId="04C19892" w14:textId="2DEE3D63" w:rsidR="000571FC" w:rsidRDefault="000571FC" w:rsidP="000571FC">
      <w:pPr>
        <w:pStyle w:val="ListParagraph"/>
        <w:numPr>
          <w:ilvl w:val="4"/>
          <w:numId w:val="1"/>
        </w:numPr>
        <w:rPr>
          <w:rFonts w:ascii="Arial" w:hAnsi="Arial" w:cs="Arial"/>
          <w:i/>
          <w:iCs/>
        </w:rPr>
      </w:pPr>
      <w:r w:rsidRPr="000571FC">
        <w:rPr>
          <w:rFonts w:ascii="Arial" w:hAnsi="Arial" w:cs="Arial"/>
        </w:rPr>
        <w:t xml:space="preserve">Adopting the Warren Court’s reasoning in </w:t>
      </w:r>
      <w:r w:rsidRPr="000571FC">
        <w:rPr>
          <w:rFonts w:ascii="Arial" w:hAnsi="Arial" w:cs="Arial"/>
          <w:i/>
          <w:iCs/>
        </w:rPr>
        <w:t>Sheppard</w:t>
      </w:r>
      <w:r w:rsidRPr="000571FC">
        <w:rPr>
          <w:rFonts w:ascii="Arial" w:hAnsi="Arial" w:cs="Arial"/>
        </w:rPr>
        <w:t>, he claimed that adverse publicity can endanger proceedings, a problem particularly acute at the pretrial stages.</w:t>
      </w:r>
    </w:p>
    <w:p w14:paraId="490B70C7" w14:textId="60249C72" w:rsidR="00D00705" w:rsidRDefault="00D00705" w:rsidP="00D00705">
      <w:pPr>
        <w:pStyle w:val="ListParagraph"/>
        <w:numPr>
          <w:ilvl w:val="3"/>
          <w:numId w:val="1"/>
        </w:numPr>
        <w:rPr>
          <w:rFonts w:ascii="Arial" w:hAnsi="Arial" w:cs="Arial"/>
          <w:i/>
          <w:iCs/>
        </w:rPr>
      </w:pPr>
      <w:r w:rsidRPr="00D00705">
        <w:rPr>
          <w:rFonts w:ascii="Arial" w:hAnsi="Arial" w:cs="Arial"/>
          <w:i/>
          <w:iCs/>
        </w:rPr>
        <w:t>Richmond Newspapers v. Virginia</w:t>
      </w:r>
      <w:r>
        <w:rPr>
          <w:rFonts w:ascii="Arial" w:hAnsi="Arial" w:cs="Arial"/>
          <w:i/>
          <w:iCs/>
        </w:rPr>
        <w:t xml:space="preserve"> (1980)</w:t>
      </w:r>
    </w:p>
    <w:p w14:paraId="0E6F3C19" w14:textId="372678CB" w:rsidR="000571FC" w:rsidRDefault="000571FC" w:rsidP="000571FC">
      <w:pPr>
        <w:pStyle w:val="ListParagraph"/>
        <w:numPr>
          <w:ilvl w:val="4"/>
          <w:numId w:val="1"/>
        </w:numPr>
        <w:rPr>
          <w:rFonts w:ascii="Arial" w:hAnsi="Arial" w:cs="Arial"/>
        </w:rPr>
      </w:pPr>
      <w:r>
        <w:rPr>
          <w:rFonts w:ascii="Arial" w:hAnsi="Arial" w:cs="Arial"/>
        </w:rPr>
        <w:t>T</w:t>
      </w:r>
      <w:r w:rsidRPr="000571FC">
        <w:rPr>
          <w:rFonts w:ascii="Arial" w:hAnsi="Arial" w:cs="Arial"/>
        </w:rPr>
        <w:t>he Court ruled in favor of a First Amendment claim over a Sixth Amendment claim, modifying the balance between these rights.</w:t>
      </w:r>
    </w:p>
    <w:p w14:paraId="22A06CC3" w14:textId="04D5C362" w:rsidR="000571FC" w:rsidRDefault="00345530" w:rsidP="000571FC">
      <w:pPr>
        <w:pStyle w:val="ListParagraph"/>
        <w:numPr>
          <w:ilvl w:val="4"/>
          <w:numId w:val="1"/>
        </w:numPr>
        <w:rPr>
          <w:rFonts w:ascii="Arial" w:hAnsi="Arial" w:cs="Arial"/>
        </w:rPr>
      </w:pPr>
      <w:r>
        <w:rPr>
          <w:rFonts w:ascii="Arial" w:hAnsi="Arial" w:cs="Arial"/>
        </w:rPr>
        <w:t>T</w:t>
      </w:r>
      <w:r w:rsidRPr="00345530">
        <w:rPr>
          <w:rFonts w:ascii="Arial" w:hAnsi="Arial" w:cs="Arial"/>
        </w:rPr>
        <w:t>he Court said that judges can pursue a variety of strategies to protect the accused, but they cannot completely close trial proceedings to the public and press.</w:t>
      </w:r>
    </w:p>
    <w:p w14:paraId="16CF9F73" w14:textId="322F408F" w:rsidR="00345530" w:rsidRPr="000571FC" w:rsidRDefault="00345530" w:rsidP="000571FC">
      <w:pPr>
        <w:pStyle w:val="ListParagraph"/>
        <w:numPr>
          <w:ilvl w:val="4"/>
          <w:numId w:val="1"/>
        </w:numPr>
        <w:rPr>
          <w:rFonts w:ascii="Arial" w:hAnsi="Arial" w:cs="Arial"/>
        </w:rPr>
      </w:pPr>
      <w:r>
        <w:rPr>
          <w:rFonts w:ascii="Arial" w:hAnsi="Arial" w:cs="Arial"/>
        </w:rPr>
        <w:t>A</w:t>
      </w:r>
      <w:r w:rsidRPr="00345530">
        <w:rPr>
          <w:rFonts w:ascii="Arial" w:hAnsi="Arial" w:cs="Arial"/>
        </w:rPr>
        <w:t>udio and video recording equipment is not as noisy and disruptive as it was when Sheppard was decided.</w:t>
      </w:r>
    </w:p>
    <w:p w14:paraId="3D4CA347" w14:textId="31A512B0" w:rsidR="00AB1B91" w:rsidRDefault="00AB1B91" w:rsidP="00AB1B91">
      <w:pPr>
        <w:pStyle w:val="ListParagraph"/>
        <w:numPr>
          <w:ilvl w:val="0"/>
          <w:numId w:val="1"/>
        </w:numPr>
        <w:rPr>
          <w:rFonts w:ascii="Arial" w:hAnsi="Arial" w:cs="Arial"/>
        </w:rPr>
      </w:pPr>
      <w:r w:rsidRPr="00AB1B91">
        <w:rPr>
          <w:rFonts w:ascii="Arial" w:hAnsi="Arial" w:cs="Arial"/>
        </w:rPr>
        <w:t>Trial Proceedings</w:t>
      </w:r>
    </w:p>
    <w:p w14:paraId="26A4B010" w14:textId="6144635F" w:rsidR="00D00705" w:rsidRDefault="00D00705" w:rsidP="00D00705">
      <w:pPr>
        <w:pStyle w:val="ListParagraph"/>
        <w:numPr>
          <w:ilvl w:val="1"/>
          <w:numId w:val="1"/>
        </w:numPr>
        <w:rPr>
          <w:rFonts w:ascii="Arial" w:hAnsi="Arial" w:cs="Arial"/>
          <w:b/>
          <w:bCs/>
          <w:i/>
          <w:iCs/>
        </w:rPr>
      </w:pPr>
      <w:r w:rsidRPr="00D00705">
        <w:rPr>
          <w:rFonts w:ascii="Arial" w:hAnsi="Arial" w:cs="Arial"/>
          <w:b/>
          <w:bCs/>
          <w:i/>
          <w:iCs/>
        </w:rPr>
        <w:t>Maryland v. Craig (1990)</w:t>
      </w:r>
    </w:p>
    <w:p w14:paraId="2E24295D" w14:textId="3B7A7894" w:rsidR="00345530" w:rsidRDefault="00345530" w:rsidP="00345530">
      <w:pPr>
        <w:pStyle w:val="ListParagraph"/>
        <w:numPr>
          <w:ilvl w:val="2"/>
          <w:numId w:val="1"/>
        </w:numPr>
        <w:rPr>
          <w:rFonts w:ascii="Arial" w:hAnsi="Arial" w:cs="Arial"/>
        </w:rPr>
      </w:pPr>
      <w:r w:rsidRPr="00345530">
        <w:rPr>
          <w:rFonts w:ascii="Arial" w:hAnsi="Arial" w:cs="Arial"/>
        </w:rPr>
        <w:t>The Court upheld a Maryland procedure that allowed abused children to testify via closed-circuit television.</w:t>
      </w:r>
    </w:p>
    <w:p w14:paraId="2EF3CC9B" w14:textId="3A117B34" w:rsidR="00345530" w:rsidRPr="00345530" w:rsidRDefault="00345530" w:rsidP="00345530">
      <w:pPr>
        <w:pStyle w:val="ListParagraph"/>
        <w:numPr>
          <w:ilvl w:val="2"/>
          <w:numId w:val="1"/>
        </w:numPr>
        <w:rPr>
          <w:rFonts w:ascii="Arial" w:hAnsi="Arial" w:cs="Arial"/>
        </w:rPr>
      </w:pPr>
      <w:r w:rsidRPr="00345530">
        <w:rPr>
          <w:rFonts w:ascii="Arial" w:hAnsi="Arial" w:cs="Arial"/>
        </w:rPr>
        <w:lastRenderedPageBreak/>
        <w:t>This procedure permitted the defendant to see the testimony of the alleged victim but protected the child witness from the trauma of face-to-face interaction with her accused abuser.</w:t>
      </w:r>
    </w:p>
    <w:p w14:paraId="300B008E" w14:textId="0F3FB12A" w:rsidR="00D00705" w:rsidRDefault="00D00705" w:rsidP="00D00705">
      <w:pPr>
        <w:pStyle w:val="ListParagraph"/>
        <w:numPr>
          <w:ilvl w:val="1"/>
          <w:numId w:val="1"/>
        </w:numPr>
        <w:rPr>
          <w:rFonts w:ascii="Arial" w:hAnsi="Arial" w:cs="Arial"/>
          <w:b/>
          <w:bCs/>
          <w:i/>
          <w:iCs/>
        </w:rPr>
      </w:pPr>
      <w:r w:rsidRPr="00D00705">
        <w:rPr>
          <w:rFonts w:ascii="Arial" w:hAnsi="Arial" w:cs="Arial"/>
          <w:b/>
          <w:bCs/>
          <w:i/>
          <w:iCs/>
        </w:rPr>
        <w:t>Crawford v. Washington (2004)</w:t>
      </w:r>
    </w:p>
    <w:p w14:paraId="63AB1B73" w14:textId="2399F416" w:rsidR="00345530" w:rsidRDefault="00345530" w:rsidP="00345530">
      <w:pPr>
        <w:pStyle w:val="ListParagraph"/>
        <w:numPr>
          <w:ilvl w:val="2"/>
          <w:numId w:val="1"/>
        </w:numPr>
        <w:rPr>
          <w:rFonts w:ascii="Arial" w:hAnsi="Arial" w:cs="Arial"/>
        </w:rPr>
      </w:pPr>
      <w:r w:rsidRPr="00345530">
        <w:rPr>
          <w:rFonts w:ascii="Arial" w:hAnsi="Arial" w:cs="Arial"/>
        </w:rPr>
        <w:t>The defendant, Michael Crawford, was accused of stabbing a man who allegedly tried to rape his wife, Sylvia.</w:t>
      </w:r>
    </w:p>
    <w:p w14:paraId="318D4A2F" w14:textId="77777777" w:rsidR="00345530" w:rsidRDefault="00345530" w:rsidP="00345530">
      <w:pPr>
        <w:pStyle w:val="ListParagraph"/>
        <w:numPr>
          <w:ilvl w:val="2"/>
          <w:numId w:val="1"/>
        </w:numPr>
        <w:rPr>
          <w:rFonts w:ascii="Arial" w:hAnsi="Arial" w:cs="Arial"/>
        </w:rPr>
      </w:pPr>
      <w:r>
        <w:rPr>
          <w:rFonts w:ascii="Arial" w:hAnsi="Arial" w:cs="Arial"/>
        </w:rPr>
        <w:t>T</w:t>
      </w:r>
      <w:r w:rsidRPr="00345530">
        <w:rPr>
          <w:rFonts w:ascii="Arial" w:hAnsi="Arial" w:cs="Arial"/>
        </w:rPr>
        <w:t>he state played for the jury a recorded statement that Sylvia made during a police interrogation suggesting that the stabbing was not committed while her husband was defending her against a rape.</w:t>
      </w:r>
    </w:p>
    <w:p w14:paraId="42485DD9" w14:textId="48BDB9CA" w:rsidR="00345530" w:rsidRDefault="00345530" w:rsidP="00345530">
      <w:pPr>
        <w:pStyle w:val="ListParagraph"/>
        <w:numPr>
          <w:ilvl w:val="2"/>
          <w:numId w:val="1"/>
        </w:numPr>
        <w:rPr>
          <w:rFonts w:ascii="Arial" w:hAnsi="Arial" w:cs="Arial"/>
        </w:rPr>
      </w:pPr>
      <w:r w:rsidRPr="00345530">
        <w:rPr>
          <w:rFonts w:ascii="Arial" w:hAnsi="Arial" w:cs="Arial"/>
        </w:rPr>
        <w:t>Sylvia did not testify because of the state’s marital privilege, which generally bars a spouse from testifying without the other spouse’s consent.</w:t>
      </w:r>
    </w:p>
    <w:p w14:paraId="105275FD" w14:textId="77777777" w:rsidR="00345530" w:rsidRPr="00345530" w:rsidRDefault="00345530" w:rsidP="00345530">
      <w:pPr>
        <w:pStyle w:val="ListParagraph"/>
        <w:numPr>
          <w:ilvl w:val="2"/>
          <w:numId w:val="1"/>
        </w:numPr>
        <w:rPr>
          <w:rFonts w:ascii="Arial" w:hAnsi="Arial" w:cs="Arial"/>
        </w:rPr>
      </w:pPr>
      <w:r w:rsidRPr="00345530">
        <w:rPr>
          <w:rFonts w:ascii="Arial" w:hAnsi="Arial" w:cs="Arial"/>
        </w:rPr>
        <w:t>Crawford objected to Sylvia’s tape-recorded statement on the ground that his attorney never had an opportunity to cross-examine his wife and so admitting the evidence violated his Sixth Amendment right to confrontation.</w:t>
      </w:r>
    </w:p>
    <w:p w14:paraId="1A567E7C" w14:textId="4685232E" w:rsidR="00345530" w:rsidRPr="00345530" w:rsidRDefault="00345530" w:rsidP="00345530">
      <w:pPr>
        <w:pStyle w:val="ListParagraph"/>
        <w:numPr>
          <w:ilvl w:val="2"/>
          <w:numId w:val="1"/>
        </w:numPr>
        <w:rPr>
          <w:rFonts w:ascii="Arial" w:hAnsi="Arial" w:cs="Arial"/>
        </w:rPr>
      </w:pPr>
      <w:r w:rsidRPr="00345530">
        <w:rPr>
          <w:rFonts w:ascii="Arial" w:hAnsi="Arial" w:cs="Arial"/>
        </w:rPr>
        <w:t>The Court agreed with Michael Crawford.</w:t>
      </w:r>
    </w:p>
    <w:p w14:paraId="239AA149" w14:textId="5F05F78F" w:rsidR="00D00705" w:rsidRDefault="00D00705" w:rsidP="00D00705">
      <w:pPr>
        <w:pStyle w:val="ListParagraph"/>
        <w:numPr>
          <w:ilvl w:val="1"/>
          <w:numId w:val="1"/>
        </w:numPr>
        <w:rPr>
          <w:rFonts w:ascii="Arial" w:hAnsi="Arial" w:cs="Arial"/>
          <w:b/>
          <w:bCs/>
          <w:i/>
          <w:iCs/>
        </w:rPr>
      </w:pPr>
      <w:r w:rsidRPr="00D00705">
        <w:rPr>
          <w:rFonts w:ascii="Arial" w:hAnsi="Arial" w:cs="Arial"/>
          <w:b/>
          <w:bCs/>
          <w:i/>
          <w:iCs/>
        </w:rPr>
        <w:t>Davis v. Washington (2006)</w:t>
      </w:r>
    </w:p>
    <w:p w14:paraId="6FCFC2CB" w14:textId="3529AF08" w:rsidR="00345530" w:rsidRDefault="00345530" w:rsidP="00345530">
      <w:pPr>
        <w:pStyle w:val="ListParagraph"/>
        <w:numPr>
          <w:ilvl w:val="2"/>
          <w:numId w:val="1"/>
        </w:numPr>
        <w:rPr>
          <w:rFonts w:ascii="Arial" w:hAnsi="Arial" w:cs="Arial"/>
        </w:rPr>
      </w:pPr>
      <w:r>
        <w:rPr>
          <w:rFonts w:ascii="Arial" w:hAnsi="Arial" w:cs="Arial"/>
        </w:rPr>
        <w:t>T</w:t>
      </w:r>
      <w:r w:rsidRPr="00345530">
        <w:rPr>
          <w:rFonts w:ascii="Arial" w:hAnsi="Arial" w:cs="Arial"/>
        </w:rPr>
        <w:t>he justices agreed that prosecutors could introduce victims’ emergency phone calls to 911 even if the victims are not in court for cross-examination.</w:t>
      </w:r>
    </w:p>
    <w:p w14:paraId="01ADA90B" w14:textId="6F4E6A8D" w:rsidR="00345530" w:rsidRPr="00345530" w:rsidRDefault="00345530" w:rsidP="00345530">
      <w:pPr>
        <w:pStyle w:val="ListParagraph"/>
        <w:numPr>
          <w:ilvl w:val="2"/>
          <w:numId w:val="1"/>
        </w:numPr>
        <w:rPr>
          <w:rFonts w:ascii="Arial" w:hAnsi="Arial" w:cs="Arial"/>
        </w:rPr>
      </w:pPr>
      <w:r>
        <w:rPr>
          <w:rFonts w:ascii="Arial" w:hAnsi="Arial" w:cs="Arial"/>
        </w:rPr>
        <w:t>H</w:t>
      </w:r>
      <w:r w:rsidRPr="00345530">
        <w:rPr>
          <w:rFonts w:ascii="Arial" w:hAnsi="Arial" w:cs="Arial"/>
        </w:rPr>
        <w:t>owever, the Court refused to allow a victim’s statement to police, given at the crime scene, to be used at trial unless the victim was willing to be cross-examined.</w:t>
      </w:r>
    </w:p>
    <w:p w14:paraId="019FF9E7" w14:textId="135D4FC2" w:rsidR="00D00705" w:rsidRDefault="00D00705" w:rsidP="00D00705">
      <w:pPr>
        <w:pStyle w:val="ListParagraph"/>
        <w:numPr>
          <w:ilvl w:val="1"/>
          <w:numId w:val="1"/>
        </w:numPr>
        <w:rPr>
          <w:rFonts w:ascii="Arial" w:hAnsi="Arial" w:cs="Arial"/>
          <w:b/>
          <w:bCs/>
          <w:i/>
          <w:iCs/>
        </w:rPr>
      </w:pPr>
      <w:r w:rsidRPr="00D00705">
        <w:rPr>
          <w:rFonts w:ascii="Arial" w:hAnsi="Arial" w:cs="Arial"/>
          <w:b/>
          <w:bCs/>
          <w:i/>
          <w:iCs/>
        </w:rPr>
        <w:t>Melendez-Diaz v. Massachusetts (2009)</w:t>
      </w:r>
    </w:p>
    <w:p w14:paraId="0E9AA181" w14:textId="77777777" w:rsidR="00345530" w:rsidRDefault="00345530" w:rsidP="00345530">
      <w:pPr>
        <w:pStyle w:val="ListParagraph"/>
        <w:numPr>
          <w:ilvl w:val="2"/>
          <w:numId w:val="1"/>
        </w:numPr>
        <w:rPr>
          <w:rFonts w:ascii="Arial" w:hAnsi="Arial" w:cs="Arial"/>
        </w:rPr>
      </w:pPr>
      <w:r w:rsidRPr="00345530">
        <w:rPr>
          <w:rFonts w:ascii="Arial" w:hAnsi="Arial" w:cs="Arial"/>
        </w:rPr>
        <w:t>The prosecution introduced sworn certificates of state laboratory analysts stating that material seized by police and connected to Melendez-Diaz was quite likely cocaine.</w:t>
      </w:r>
    </w:p>
    <w:p w14:paraId="6DE7AA07" w14:textId="77777777" w:rsidR="00345530" w:rsidRDefault="00345530" w:rsidP="00345530">
      <w:pPr>
        <w:pStyle w:val="ListParagraph"/>
        <w:numPr>
          <w:ilvl w:val="2"/>
          <w:numId w:val="1"/>
        </w:numPr>
        <w:rPr>
          <w:rFonts w:ascii="Arial" w:hAnsi="Arial" w:cs="Arial"/>
        </w:rPr>
      </w:pPr>
      <w:r w:rsidRPr="00345530">
        <w:rPr>
          <w:rFonts w:ascii="Arial" w:hAnsi="Arial" w:cs="Arial"/>
        </w:rPr>
        <w:t>Melendez-Diaz’s attorney objected, claiming that under Supreme Court precedent, the analysts should testify in person and face cross-examination.</w:t>
      </w:r>
    </w:p>
    <w:p w14:paraId="488FA524" w14:textId="77575F15" w:rsidR="00345530" w:rsidRPr="00345530" w:rsidRDefault="00345530" w:rsidP="00345530">
      <w:pPr>
        <w:pStyle w:val="ListParagraph"/>
        <w:numPr>
          <w:ilvl w:val="2"/>
          <w:numId w:val="1"/>
        </w:numPr>
        <w:rPr>
          <w:rFonts w:ascii="Arial" w:hAnsi="Arial" w:cs="Arial"/>
        </w:rPr>
      </w:pPr>
      <w:r w:rsidRPr="00345530">
        <w:rPr>
          <w:rFonts w:ascii="Arial" w:hAnsi="Arial" w:cs="Arial"/>
        </w:rPr>
        <w:t>The Supreme Court agreed.</w:t>
      </w:r>
    </w:p>
    <w:p w14:paraId="3A55CA45" w14:textId="48DBC0D4" w:rsidR="00D00705" w:rsidRDefault="00D00705" w:rsidP="00D00705">
      <w:pPr>
        <w:pStyle w:val="ListParagraph"/>
        <w:numPr>
          <w:ilvl w:val="1"/>
          <w:numId w:val="1"/>
        </w:numPr>
        <w:rPr>
          <w:rFonts w:ascii="Arial" w:hAnsi="Arial" w:cs="Arial"/>
          <w:b/>
          <w:bCs/>
          <w:i/>
          <w:iCs/>
        </w:rPr>
      </w:pPr>
      <w:r w:rsidRPr="00D00705">
        <w:rPr>
          <w:rFonts w:ascii="Arial" w:hAnsi="Arial" w:cs="Arial"/>
          <w:b/>
          <w:bCs/>
          <w:i/>
          <w:iCs/>
        </w:rPr>
        <w:t>Michigan v. Bryant</w:t>
      </w:r>
      <w:r>
        <w:rPr>
          <w:rFonts w:ascii="Arial" w:hAnsi="Arial" w:cs="Arial"/>
          <w:b/>
          <w:bCs/>
          <w:i/>
          <w:iCs/>
        </w:rPr>
        <w:t xml:space="preserve"> (2011)</w:t>
      </w:r>
    </w:p>
    <w:p w14:paraId="2AEA3E97" w14:textId="67358A68" w:rsidR="00345530" w:rsidRDefault="00345530" w:rsidP="00345530">
      <w:pPr>
        <w:pStyle w:val="ListParagraph"/>
        <w:numPr>
          <w:ilvl w:val="2"/>
          <w:numId w:val="1"/>
        </w:numPr>
        <w:rPr>
          <w:rFonts w:ascii="Arial" w:hAnsi="Arial" w:cs="Arial"/>
        </w:rPr>
      </w:pPr>
      <w:r w:rsidRPr="00345530">
        <w:rPr>
          <w:rFonts w:ascii="Arial" w:hAnsi="Arial" w:cs="Arial"/>
        </w:rPr>
        <w:t>The Court held that a statement made to police by a victim at a crime scene was nontestimonial even though the victim died before the start of the trial.</w:t>
      </w:r>
    </w:p>
    <w:p w14:paraId="089179E3" w14:textId="702EADCB" w:rsidR="00345530" w:rsidRDefault="00345530" w:rsidP="00345530">
      <w:pPr>
        <w:pStyle w:val="ListParagraph"/>
        <w:numPr>
          <w:ilvl w:val="2"/>
          <w:numId w:val="1"/>
        </w:numPr>
        <w:rPr>
          <w:rFonts w:ascii="Arial" w:hAnsi="Arial" w:cs="Arial"/>
        </w:rPr>
      </w:pPr>
      <w:r w:rsidRPr="00345530">
        <w:rPr>
          <w:rFonts w:ascii="Arial" w:hAnsi="Arial" w:cs="Arial"/>
        </w:rPr>
        <w:t>Sotomayor reasoned that the statement was nontestimonial in nature because it was made with the purpose of assisting the police in an ongoing emergency situation.</w:t>
      </w:r>
    </w:p>
    <w:p w14:paraId="50ED7326" w14:textId="1F51CAF4" w:rsidR="00345530" w:rsidRPr="00345530" w:rsidRDefault="00345530" w:rsidP="00345530">
      <w:pPr>
        <w:pStyle w:val="ListParagraph"/>
        <w:numPr>
          <w:ilvl w:val="2"/>
          <w:numId w:val="1"/>
        </w:numPr>
        <w:rPr>
          <w:rFonts w:ascii="Arial" w:hAnsi="Arial" w:cs="Arial"/>
        </w:rPr>
      </w:pPr>
      <w:r w:rsidRPr="00345530">
        <w:rPr>
          <w:rFonts w:ascii="Arial" w:hAnsi="Arial" w:cs="Arial"/>
        </w:rPr>
        <w:t>To Scalia, because the victim’s purpose was to ensure the arrest and prosecution of the defendant, the victim’s statement clearly amounted to testimony for purposes of the confrontation clause.</w:t>
      </w:r>
    </w:p>
    <w:p w14:paraId="19DE1BF2" w14:textId="08337A8D" w:rsidR="00AB1B91" w:rsidRDefault="00AB1B91" w:rsidP="00AB1B91">
      <w:pPr>
        <w:pStyle w:val="ListParagraph"/>
        <w:numPr>
          <w:ilvl w:val="0"/>
          <w:numId w:val="1"/>
        </w:numPr>
        <w:rPr>
          <w:rFonts w:ascii="Arial" w:hAnsi="Arial" w:cs="Arial"/>
        </w:rPr>
      </w:pPr>
      <w:r w:rsidRPr="00AB1B91">
        <w:rPr>
          <w:rFonts w:ascii="Arial" w:hAnsi="Arial" w:cs="Arial"/>
        </w:rPr>
        <w:t>Final Trial Stage: An Overview of Sentencing</w:t>
      </w:r>
    </w:p>
    <w:p w14:paraId="76F0A282" w14:textId="1A095326" w:rsidR="007816D1" w:rsidRDefault="007816D1" w:rsidP="00345530">
      <w:pPr>
        <w:pStyle w:val="ListParagraph"/>
        <w:numPr>
          <w:ilvl w:val="1"/>
          <w:numId w:val="1"/>
        </w:numPr>
        <w:rPr>
          <w:rFonts w:ascii="Arial" w:hAnsi="Arial" w:cs="Arial"/>
        </w:rPr>
      </w:pPr>
      <w:r w:rsidRPr="007816D1">
        <w:rPr>
          <w:rFonts w:ascii="Arial" w:hAnsi="Arial" w:cs="Arial"/>
        </w:rPr>
        <w:t xml:space="preserve">If </w:t>
      </w:r>
      <w:r>
        <w:rPr>
          <w:rFonts w:ascii="Arial" w:hAnsi="Arial" w:cs="Arial"/>
        </w:rPr>
        <w:t>a jury</w:t>
      </w:r>
      <w:r w:rsidRPr="007816D1">
        <w:rPr>
          <w:rFonts w:ascii="Arial" w:hAnsi="Arial" w:cs="Arial"/>
        </w:rPr>
        <w:t xml:space="preserve"> finds </w:t>
      </w:r>
      <w:r>
        <w:rPr>
          <w:rFonts w:ascii="Arial" w:hAnsi="Arial" w:cs="Arial"/>
        </w:rPr>
        <w:t>a</w:t>
      </w:r>
      <w:r w:rsidRPr="007816D1">
        <w:rPr>
          <w:rFonts w:ascii="Arial" w:hAnsi="Arial" w:cs="Arial"/>
        </w:rPr>
        <w:t xml:space="preserve"> defendant guilty, the judge will typically set a future court date to determine and pronounce the appropriate sentence.</w:t>
      </w:r>
    </w:p>
    <w:p w14:paraId="77B2BF86" w14:textId="52144652" w:rsidR="00345530" w:rsidRDefault="00345530" w:rsidP="00345530">
      <w:pPr>
        <w:pStyle w:val="ListParagraph"/>
        <w:numPr>
          <w:ilvl w:val="1"/>
          <w:numId w:val="1"/>
        </w:numPr>
        <w:rPr>
          <w:rFonts w:ascii="Arial" w:hAnsi="Arial" w:cs="Arial"/>
        </w:rPr>
      </w:pPr>
      <w:r>
        <w:rPr>
          <w:rFonts w:ascii="Arial" w:hAnsi="Arial" w:cs="Arial"/>
        </w:rPr>
        <w:t xml:space="preserve">This step </w:t>
      </w:r>
      <w:r w:rsidRPr="00345530">
        <w:rPr>
          <w:rFonts w:ascii="Arial" w:hAnsi="Arial" w:cs="Arial"/>
        </w:rPr>
        <w:t>has engendered a good deal of debate.</w:t>
      </w:r>
    </w:p>
    <w:p w14:paraId="507C5165" w14:textId="2E084ED1" w:rsidR="00345530" w:rsidRDefault="007816D1" w:rsidP="007816D1">
      <w:pPr>
        <w:pStyle w:val="ListParagraph"/>
        <w:numPr>
          <w:ilvl w:val="2"/>
          <w:numId w:val="1"/>
        </w:numPr>
        <w:rPr>
          <w:rFonts w:ascii="Arial" w:hAnsi="Arial" w:cs="Arial"/>
        </w:rPr>
      </w:pPr>
      <w:r>
        <w:rPr>
          <w:rFonts w:ascii="Arial" w:hAnsi="Arial" w:cs="Arial"/>
        </w:rPr>
        <w:lastRenderedPageBreak/>
        <w:t>O</w:t>
      </w:r>
      <w:r w:rsidRPr="007816D1">
        <w:rPr>
          <w:rFonts w:ascii="Arial" w:hAnsi="Arial" w:cs="Arial"/>
        </w:rPr>
        <w:t>n any given day in the United States, defendants convicted of the same crime in different localities can receive vastly different sentences.</w:t>
      </w:r>
    </w:p>
    <w:p w14:paraId="05011333" w14:textId="6E907C6E" w:rsidR="007816D1" w:rsidRDefault="007816D1" w:rsidP="007816D1">
      <w:pPr>
        <w:pStyle w:val="ListParagraph"/>
        <w:numPr>
          <w:ilvl w:val="3"/>
          <w:numId w:val="1"/>
        </w:numPr>
        <w:rPr>
          <w:rFonts w:ascii="Arial" w:hAnsi="Arial" w:cs="Arial"/>
        </w:rPr>
      </w:pPr>
      <w:r w:rsidRPr="007816D1">
        <w:rPr>
          <w:rFonts w:ascii="Arial" w:hAnsi="Arial" w:cs="Arial"/>
        </w:rPr>
        <w:t>One reason</w:t>
      </w:r>
      <w:r>
        <w:rPr>
          <w:rFonts w:ascii="Arial" w:hAnsi="Arial" w:cs="Arial"/>
        </w:rPr>
        <w:t xml:space="preserve"> for this</w:t>
      </w:r>
      <w:r w:rsidRPr="007816D1">
        <w:rPr>
          <w:rFonts w:ascii="Arial" w:hAnsi="Arial" w:cs="Arial"/>
        </w:rPr>
        <w:t xml:space="preserve"> is that judges consider a variety of information before pronouncing sentence</w:t>
      </w:r>
      <w:r>
        <w:rPr>
          <w:rFonts w:ascii="Arial" w:hAnsi="Arial" w:cs="Arial"/>
        </w:rPr>
        <w:t>.</w:t>
      </w:r>
    </w:p>
    <w:p w14:paraId="1DD7D9C0" w14:textId="3FB9F398" w:rsidR="007816D1" w:rsidRDefault="007816D1" w:rsidP="007816D1">
      <w:pPr>
        <w:pStyle w:val="ListParagraph"/>
        <w:numPr>
          <w:ilvl w:val="3"/>
          <w:numId w:val="1"/>
        </w:numPr>
        <w:rPr>
          <w:rFonts w:ascii="Arial" w:hAnsi="Arial" w:cs="Arial"/>
        </w:rPr>
      </w:pPr>
      <w:r w:rsidRPr="007816D1">
        <w:rPr>
          <w:rFonts w:ascii="Arial" w:hAnsi="Arial" w:cs="Arial"/>
        </w:rPr>
        <w:t>Judges maintain that by considering a broad array of information about convicted defendants, they can form a more complete picture and hand down appropriate sentences.</w:t>
      </w:r>
    </w:p>
    <w:p w14:paraId="5DD4CA10" w14:textId="31B483B6" w:rsidR="007816D1" w:rsidRDefault="007816D1" w:rsidP="007816D1">
      <w:pPr>
        <w:pStyle w:val="ListParagraph"/>
        <w:numPr>
          <w:ilvl w:val="2"/>
          <w:numId w:val="1"/>
        </w:numPr>
        <w:rPr>
          <w:rFonts w:ascii="Arial" w:hAnsi="Arial" w:cs="Arial"/>
        </w:rPr>
      </w:pPr>
      <w:r w:rsidRPr="007816D1">
        <w:rPr>
          <w:rFonts w:ascii="Arial" w:hAnsi="Arial" w:cs="Arial"/>
        </w:rPr>
        <w:t>Some scholars argue that irrelevant factors enter the process.</w:t>
      </w:r>
    </w:p>
    <w:p w14:paraId="7335C4AD" w14:textId="5B982BCD" w:rsidR="007816D1" w:rsidRDefault="007816D1" w:rsidP="007816D1">
      <w:pPr>
        <w:pStyle w:val="ListParagraph"/>
        <w:numPr>
          <w:ilvl w:val="2"/>
          <w:numId w:val="1"/>
        </w:numPr>
        <w:rPr>
          <w:rFonts w:ascii="Arial" w:hAnsi="Arial" w:cs="Arial"/>
        </w:rPr>
      </w:pPr>
      <w:r w:rsidRPr="007816D1">
        <w:rPr>
          <w:rFonts w:ascii="Arial" w:hAnsi="Arial" w:cs="Arial"/>
        </w:rPr>
        <w:t>Another serious issue is that racial discrimination may influence sentencing decisions</w:t>
      </w:r>
      <w:r>
        <w:rPr>
          <w:rFonts w:ascii="Arial" w:hAnsi="Arial" w:cs="Arial"/>
        </w:rPr>
        <w:t>.</w:t>
      </w:r>
    </w:p>
    <w:p w14:paraId="12EB921A" w14:textId="3EEBC283" w:rsidR="007816D1" w:rsidRDefault="007816D1" w:rsidP="007816D1">
      <w:pPr>
        <w:pStyle w:val="ListParagraph"/>
        <w:numPr>
          <w:ilvl w:val="1"/>
          <w:numId w:val="1"/>
        </w:numPr>
        <w:rPr>
          <w:rFonts w:ascii="Arial" w:hAnsi="Arial" w:cs="Arial"/>
        </w:rPr>
      </w:pPr>
      <w:r w:rsidRPr="007816D1">
        <w:rPr>
          <w:rFonts w:ascii="Arial" w:hAnsi="Arial" w:cs="Arial"/>
        </w:rPr>
        <w:t>Congress has tried to limit judges’ discretion by creating the United States Sentencing Commission.</w:t>
      </w:r>
    </w:p>
    <w:p w14:paraId="65ABC56F" w14:textId="662329B9" w:rsidR="007816D1" w:rsidRDefault="007816D1" w:rsidP="007816D1">
      <w:pPr>
        <w:pStyle w:val="ListParagraph"/>
        <w:numPr>
          <w:ilvl w:val="1"/>
          <w:numId w:val="1"/>
        </w:numPr>
        <w:rPr>
          <w:rFonts w:ascii="Arial" w:hAnsi="Arial" w:cs="Arial"/>
        </w:rPr>
      </w:pPr>
      <w:r w:rsidRPr="007816D1">
        <w:rPr>
          <w:rFonts w:ascii="Arial" w:hAnsi="Arial" w:cs="Arial"/>
        </w:rPr>
        <w:t>The commission’s task is to establish sentencing guidelines that federal judges must follow.</w:t>
      </w:r>
    </w:p>
    <w:p w14:paraId="5224BDC1" w14:textId="36C3672A" w:rsidR="007816D1" w:rsidRDefault="007816D1" w:rsidP="007816D1">
      <w:pPr>
        <w:pStyle w:val="ListParagraph"/>
        <w:numPr>
          <w:ilvl w:val="1"/>
          <w:numId w:val="1"/>
        </w:numPr>
        <w:rPr>
          <w:rFonts w:ascii="Arial" w:hAnsi="Arial" w:cs="Arial"/>
        </w:rPr>
      </w:pPr>
      <w:r>
        <w:rPr>
          <w:rFonts w:ascii="Arial" w:hAnsi="Arial" w:cs="Arial"/>
        </w:rPr>
        <w:t>However, the Court has rendered t</w:t>
      </w:r>
      <w:r w:rsidRPr="007816D1">
        <w:rPr>
          <w:rFonts w:ascii="Arial" w:hAnsi="Arial" w:cs="Arial"/>
        </w:rPr>
        <w:t>he guidelines are effectively advisory.</w:t>
      </w:r>
    </w:p>
    <w:p w14:paraId="1A47CA91" w14:textId="6EE0ECAA" w:rsidR="00AB1B91" w:rsidRDefault="00AB1B91" w:rsidP="00AB1B91">
      <w:pPr>
        <w:pStyle w:val="ListParagraph"/>
        <w:numPr>
          <w:ilvl w:val="0"/>
          <w:numId w:val="1"/>
        </w:numPr>
        <w:rPr>
          <w:rFonts w:ascii="Arial" w:hAnsi="Arial" w:cs="Arial"/>
        </w:rPr>
      </w:pPr>
      <w:r w:rsidRPr="00AB1B91">
        <w:rPr>
          <w:rFonts w:ascii="Arial" w:hAnsi="Arial" w:cs="Arial"/>
        </w:rPr>
        <w:t>The Eighth Amendment</w:t>
      </w:r>
    </w:p>
    <w:p w14:paraId="239685EE" w14:textId="321C4AAE" w:rsidR="00AB1B91" w:rsidRDefault="00AB1B91" w:rsidP="00AB1B91">
      <w:pPr>
        <w:pStyle w:val="ListParagraph"/>
        <w:numPr>
          <w:ilvl w:val="1"/>
          <w:numId w:val="1"/>
        </w:numPr>
        <w:rPr>
          <w:rFonts w:ascii="Arial" w:hAnsi="Arial" w:cs="Arial"/>
        </w:rPr>
      </w:pPr>
      <w:r w:rsidRPr="00AB1B91">
        <w:rPr>
          <w:rFonts w:ascii="Arial" w:hAnsi="Arial" w:cs="Arial"/>
        </w:rPr>
        <w:t>Defining “Cruel and Unusual”</w:t>
      </w:r>
    </w:p>
    <w:p w14:paraId="7DB03288" w14:textId="07C6CF75" w:rsidR="00D00705" w:rsidRDefault="00D00705" w:rsidP="00D00705">
      <w:pPr>
        <w:pStyle w:val="ListParagraph"/>
        <w:numPr>
          <w:ilvl w:val="2"/>
          <w:numId w:val="1"/>
        </w:numPr>
        <w:rPr>
          <w:rFonts w:ascii="Arial" w:hAnsi="Arial" w:cs="Arial"/>
          <w:b/>
          <w:bCs/>
          <w:i/>
          <w:iCs/>
        </w:rPr>
      </w:pPr>
      <w:r w:rsidRPr="00D00705">
        <w:rPr>
          <w:rFonts w:ascii="Arial" w:hAnsi="Arial" w:cs="Arial"/>
          <w:b/>
          <w:bCs/>
          <w:i/>
          <w:iCs/>
        </w:rPr>
        <w:t>Solem v. Helm (1983)</w:t>
      </w:r>
    </w:p>
    <w:p w14:paraId="515B9B7E" w14:textId="77777777" w:rsidR="007816D1" w:rsidRPr="007816D1" w:rsidRDefault="007816D1" w:rsidP="007816D1">
      <w:pPr>
        <w:pStyle w:val="ListParagraph"/>
        <w:numPr>
          <w:ilvl w:val="3"/>
          <w:numId w:val="1"/>
        </w:numPr>
        <w:rPr>
          <w:rFonts w:ascii="Arial" w:hAnsi="Arial" w:cs="Arial"/>
        </w:rPr>
      </w:pPr>
      <w:r w:rsidRPr="007816D1">
        <w:rPr>
          <w:rFonts w:ascii="Arial" w:hAnsi="Arial" w:cs="Arial"/>
        </w:rPr>
        <w:t>In 1979 Jerry Helm was convicted of writing a $100 bad check.</w:t>
      </w:r>
    </w:p>
    <w:p w14:paraId="65754FAE" w14:textId="18C51000" w:rsidR="007816D1" w:rsidRPr="007816D1" w:rsidRDefault="007816D1" w:rsidP="007816D1">
      <w:pPr>
        <w:pStyle w:val="ListParagraph"/>
        <w:numPr>
          <w:ilvl w:val="3"/>
          <w:numId w:val="1"/>
        </w:numPr>
        <w:rPr>
          <w:rFonts w:ascii="Arial" w:hAnsi="Arial" w:cs="Arial"/>
        </w:rPr>
      </w:pPr>
      <w:r w:rsidRPr="007816D1">
        <w:rPr>
          <w:rFonts w:ascii="Arial" w:hAnsi="Arial" w:cs="Arial"/>
        </w:rPr>
        <w:t>On six previous occasions he had been convicted of other nonviolent crimes.</w:t>
      </w:r>
    </w:p>
    <w:p w14:paraId="33A93088" w14:textId="509A6D8E" w:rsidR="007816D1" w:rsidRDefault="007816D1" w:rsidP="007816D1">
      <w:pPr>
        <w:pStyle w:val="ListParagraph"/>
        <w:numPr>
          <w:ilvl w:val="3"/>
          <w:numId w:val="1"/>
        </w:numPr>
        <w:rPr>
          <w:rFonts w:ascii="Arial" w:hAnsi="Arial" w:cs="Arial"/>
        </w:rPr>
      </w:pPr>
      <w:r w:rsidRPr="007816D1">
        <w:rPr>
          <w:rFonts w:ascii="Arial" w:hAnsi="Arial" w:cs="Arial"/>
        </w:rPr>
        <w:t>The judge, believing Helm to be beyond rehabilitation, invoked the South Dakota recidivism law and sentenced him to life in prison without possibility of parole.</w:t>
      </w:r>
    </w:p>
    <w:p w14:paraId="2699FB21" w14:textId="41B4D3C7" w:rsidR="007816D1" w:rsidRDefault="007816D1" w:rsidP="007816D1">
      <w:pPr>
        <w:pStyle w:val="ListParagraph"/>
        <w:numPr>
          <w:ilvl w:val="3"/>
          <w:numId w:val="1"/>
        </w:numPr>
        <w:rPr>
          <w:rFonts w:ascii="Arial" w:hAnsi="Arial" w:cs="Arial"/>
        </w:rPr>
      </w:pPr>
      <w:r w:rsidRPr="007816D1">
        <w:rPr>
          <w:rFonts w:ascii="Arial" w:hAnsi="Arial" w:cs="Arial"/>
        </w:rPr>
        <w:t>By a 5–4 vote, the Supreme Court found that the life sentence violated the cruel and unusual punishment clause.</w:t>
      </w:r>
    </w:p>
    <w:p w14:paraId="0B39C9EA" w14:textId="242DEB1B" w:rsidR="007816D1" w:rsidRDefault="007816D1" w:rsidP="007816D1">
      <w:pPr>
        <w:pStyle w:val="ListParagraph"/>
        <w:numPr>
          <w:ilvl w:val="3"/>
          <w:numId w:val="1"/>
        </w:numPr>
        <w:rPr>
          <w:rFonts w:ascii="Arial" w:hAnsi="Arial" w:cs="Arial"/>
        </w:rPr>
      </w:pPr>
      <w:r w:rsidRPr="007816D1">
        <w:rPr>
          <w:rFonts w:ascii="Arial" w:hAnsi="Arial" w:cs="Arial"/>
        </w:rPr>
        <w:t>Justice Powell’s majority opinion held that the Eighth Amendment proscribes not only barbaric punishments but also sentences that are disproportionate to the crime committed.</w:t>
      </w:r>
    </w:p>
    <w:p w14:paraId="63DCEA22" w14:textId="0EBF9176" w:rsidR="007816D1" w:rsidRDefault="007816D1" w:rsidP="007816D1">
      <w:pPr>
        <w:pStyle w:val="ListParagraph"/>
        <w:numPr>
          <w:ilvl w:val="2"/>
          <w:numId w:val="1"/>
        </w:numPr>
        <w:rPr>
          <w:rFonts w:ascii="Arial" w:hAnsi="Arial" w:cs="Arial"/>
          <w:i/>
          <w:iCs/>
        </w:rPr>
      </w:pPr>
      <w:r w:rsidRPr="007816D1">
        <w:rPr>
          <w:rFonts w:ascii="Arial" w:hAnsi="Arial" w:cs="Arial"/>
          <w:i/>
          <w:iCs/>
        </w:rPr>
        <w:t>Harmelin v. Michigan (1991)</w:t>
      </w:r>
    </w:p>
    <w:p w14:paraId="75D716A4" w14:textId="77777777" w:rsidR="007816D1" w:rsidRDefault="007816D1" w:rsidP="007816D1">
      <w:pPr>
        <w:pStyle w:val="ListParagraph"/>
        <w:numPr>
          <w:ilvl w:val="3"/>
          <w:numId w:val="1"/>
        </w:numPr>
        <w:rPr>
          <w:rFonts w:ascii="Arial" w:hAnsi="Arial" w:cs="Arial"/>
        </w:rPr>
      </w:pPr>
      <w:r>
        <w:rPr>
          <w:rFonts w:ascii="Arial" w:hAnsi="Arial" w:cs="Arial"/>
        </w:rPr>
        <w:t>T</w:t>
      </w:r>
      <w:r w:rsidRPr="007816D1">
        <w:rPr>
          <w:rFonts w:ascii="Arial" w:hAnsi="Arial" w:cs="Arial"/>
        </w:rPr>
        <w:t>he justices rejected a convict’s claim that a sentence of life in prison without possibility of parole for a first-time offense of cocaine possession violated the cruel and unusual punishment clause</w:t>
      </w:r>
      <w:r>
        <w:rPr>
          <w:rFonts w:ascii="Arial" w:hAnsi="Arial" w:cs="Arial"/>
        </w:rPr>
        <w:t>.</w:t>
      </w:r>
    </w:p>
    <w:p w14:paraId="28288B86" w14:textId="4642FD18" w:rsidR="007816D1" w:rsidRPr="007816D1" w:rsidRDefault="007816D1" w:rsidP="007816D1">
      <w:pPr>
        <w:pStyle w:val="ListParagraph"/>
        <w:numPr>
          <w:ilvl w:val="3"/>
          <w:numId w:val="1"/>
        </w:numPr>
        <w:rPr>
          <w:rFonts w:ascii="Arial" w:hAnsi="Arial" w:cs="Arial"/>
        </w:rPr>
      </w:pPr>
      <w:r>
        <w:rPr>
          <w:rFonts w:ascii="Arial" w:hAnsi="Arial" w:cs="Arial"/>
        </w:rPr>
        <w:t>T</w:t>
      </w:r>
      <w:r w:rsidRPr="007816D1">
        <w:rPr>
          <w:rFonts w:ascii="Arial" w:hAnsi="Arial" w:cs="Arial"/>
        </w:rPr>
        <w:t>hey could not agree on the reason this sentence was not grossly disproportionate.</w:t>
      </w:r>
    </w:p>
    <w:p w14:paraId="453F501C" w14:textId="381CB5FF" w:rsidR="00D00705" w:rsidRDefault="00D00705" w:rsidP="00D00705">
      <w:pPr>
        <w:pStyle w:val="ListParagraph"/>
        <w:numPr>
          <w:ilvl w:val="2"/>
          <w:numId w:val="1"/>
        </w:numPr>
        <w:rPr>
          <w:rFonts w:ascii="Arial" w:hAnsi="Arial" w:cs="Arial"/>
          <w:b/>
          <w:bCs/>
          <w:i/>
          <w:iCs/>
        </w:rPr>
      </w:pPr>
      <w:r w:rsidRPr="00D00705">
        <w:rPr>
          <w:rFonts w:ascii="Arial" w:hAnsi="Arial" w:cs="Arial"/>
          <w:b/>
          <w:bCs/>
          <w:i/>
          <w:iCs/>
        </w:rPr>
        <w:t>Ewing v. California</w:t>
      </w:r>
      <w:r>
        <w:rPr>
          <w:rFonts w:ascii="Arial" w:hAnsi="Arial" w:cs="Arial"/>
          <w:b/>
          <w:bCs/>
          <w:i/>
          <w:iCs/>
        </w:rPr>
        <w:t xml:space="preserve"> (2003)</w:t>
      </w:r>
    </w:p>
    <w:p w14:paraId="42D0F57A" w14:textId="4B9FFA66" w:rsidR="007816D1" w:rsidRDefault="007816D1" w:rsidP="007816D1">
      <w:pPr>
        <w:pStyle w:val="ListParagraph"/>
        <w:numPr>
          <w:ilvl w:val="3"/>
          <w:numId w:val="1"/>
        </w:numPr>
        <w:rPr>
          <w:rFonts w:ascii="Arial" w:hAnsi="Arial" w:cs="Arial"/>
        </w:rPr>
      </w:pPr>
      <w:r>
        <w:rPr>
          <w:rFonts w:ascii="Arial" w:hAnsi="Arial" w:cs="Arial"/>
        </w:rPr>
        <w:t>T</w:t>
      </w:r>
      <w:r w:rsidRPr="007816D1">
        <w:rPr>
          <w:rFonts w:ascii="Arial" w:hAnsi="Arial" w:cs="Arial"/>
        </w:rPr>
        <w:t>he Court addressed the constitutionality of sentencing statutes popularly known as “three strikes and you’re out” laws.</w:t>
      </w:r>
    </w:p>
    <w:p w14:paraId="4F3C2A1B" w14:textId="77777777" w:rsidR="004F4E50" w:rsidRDefault="004F4E50" w:rsidP="007816D1">
      <w:pPr>
        <w:pStyle w:val="ListParagraph"/>
        <w:numPr>
          <w:ilvl w:val="3"/>
          <w:numId w:val="1"/>
        </w:numPr>
        <w:rPr>
          <w:rFonts w:ascii="Arial" w:hAnsi="Arial" w:cs="Arial"/>
        </w:rPr>
      </w:pPr>
      <w:r w:rsidRPr="004F4E50">
        <w:rPr>
          <w:rFonts w:ascii="Arial" w:hAnsi="Arial" w:cs="Arial"/>
        </w:rPr>
        <w:t>Under California law, the prosecutor had the option of charging Ewing with a felony or a misdemeanor.</w:t>
      </w:r>
    </w:p>
    <w:p w14:paraId="2E79D6A7" w14:textId="02B0AF27" w:rsidR="004F4E50" w:rsidRDefault="004F4E50" w:rsidP="007816D1">
      <w:pPr>
        <w:pStyle w:val="ListParagraph"/>
        <w:numPr>
          <w:ilvl w:val="3"/>
          <w:numId w:val="1"/>
        </w:numPr>
        <w:rPr>
          <w:rFonts w:ascii="Arial" w:hAnsi="Arial" w:cs="Arial"/>
        </w:rPr>
      </w:pPr>
      <w:r w:rsidRPr="004F4E50">
        <w:rPr>
          <w:rFonts w:ascii="Arial" w:hAnsi="Arial" w:cs="Arial"/>
        </w:rPr>
        <w:t>The prosecutor decided that a felony grand theft charge was the appropriate alternative.</w:t>
      </w:r>
    </w:p>
    <w:p w14:paraId="6213E3A2" w14:textId="77777777" w:rsidR="004F4E50" w:rsidRDefault="004F4E50" w:rsidP="007816D1">
      <w:pPr>
        <w:pStyle w:val="ListParagraph"/>
        <w:numPr>
          <w:ilvl w:val="3"/>
          <w:numId w:val="1"/>
        </w:numPr>
        <w:rPr>
          <w:rFonts w:ascii="Arial" w:hAnsi="Arial" w:cs="Arial"/>
        </w:rPr>
      </w:pPr>
      <w:r w:rsidRPr="004F4E50">
        <w:rPr>
          <w:rFonts w:ascii="Arial" w:hAnsi="Arial" w:cs="Arial"/>
        </w:rPr>
        <w:lastRenderedPageBreak/>
        <w:t>Ewing was convicted of the felony charge and therefore became eligible for sentencing under the state’s three-strikes statute.</w:t>
      </w:r>
    </w:p>
    <w:p w14:paraId="2B6068B5" w14:textId="77777777" w:rsidR="004F4E50" w:rsidRDefault="004F4E50" w:rsidP="007816D1">
      <w:pPr>
        <w:pStyle w:val="ListParagraph"/>
        <w:numPr>
          <w:ilvl w:val="3"/>
          <w:numId w:val="1"/>
        </w:numPr>
        <w:rPr>
          <w:rFonts w:ascii="Arial" w:hAnsi="Arial" w:cs="Arial"/>
        </w:rPr>
      </w:pPr>
      <w:r w:rsidRPr="004F4E50">
        <w:rPr>
          <w:rFonts w:ascii="Arial" w:hAnsi="Arial" w:cs="Arial"/>
        </w:rPr>
        <w:t>The judge sentenced him to a term of twenty-five years to life in prison.</w:t>
      </w:r>
    </w:p>
    <w:p w14:paraId="5970DFFF" w14:textId="0B9D44AD" w:rsidR="004F4E50" w:rsidRDefault="004F4E50" w:rsidP="007816D1">
      <w:pPr>
        <w:pStyle w:val="ListParagraph"/>
        <w:numPr>
          <w:ilvl w:val="3"/>
          <w:numId w:val="1"/>
        </w:numPr>
        <w:rPr>
          <w:rFonts w:ascii="Arial" w:hAnsi="Arial" w:cs="Arial"/>
        </w:rPr>
      </w:pPr>
      <w:r w:rsidRPr="004F4E50">
        <w:rPr>
          <w:rFonts w:ascii="Arial" w:hAnsi="Arial" w:cs="Arial"/>
        </w:rPr>
        <w:t>Ewing appealed, claiming that the sentence was disproportionate to the triggering offense of stealing three golf clubs.</w:t>
      </w:r>
    </w:p>
    <w:p w14:paraId="36758B4E" w14:textId="1696B550" w:rsidR="004F4E50" w:rsidRDefault="004F4E50" w:rsidP="007816D1">
      <w:pPr>
        <w:pStyle w:val="ListParagraph"/>
        <w:numPr>
          <w:ilvl w:val="3"/>
          <w:numId w:val="1"/>
        </w:numPr>
        <w:rPr>
          <w:rFonts w:ascii="Arial" w:hAnsi="Arial" w:cs="Arial"/>
        </w:rPr>
      </w:pPr>
      <w:r w:rsidRPr="004F4E50">
        <w:rPr>
          <w:rFonts w:ascii="Arial" w:hAnsi="Arial" w:cs="Arial"/>
        </w:rPr>
        <w:t>The Court upheld the state law.</w:t>
      </w:r>
    </w:p>
    <w:p w14:paraId="63B964F0" w14:textId="07DC4517" w:rsidR="004F4E50" w:rsidRDefault="004F4E50" w:rsidP="004F4E50">
      <w:pPr>
        <w:pStyle w:val="ListParagraph"/>
        <w:numPr>
          <w:ilvl w:val="2"/>
          <w:numId w:val="1"/>
        </w:numPr>
        <w:rPr>
          <w:rFonts w:ascii="Arial" w:hAnsi="Arial" w:cs="Arial"/>
          <w:i/>
          <w:iCs/>
        </w:rPr>
      </w:pPr>
      <w:r w:rsidRPr="004F4E50">
        <w:rPr>
          <w:rFonts w:ascii="Arial" w:hAnsi="Arial" w:cs="Arial"/>
          <w:i/>
          <w:iCs/>
        </w:rPr>
        <w:t>Graham v. Florida (2010)</w:t>
      </w:r>
    </w:p>
    <w:p w14:paraId="1B687B2F" w14:textId="13AD32FC" w:rsidR="004F4E50" w:rsidRDefault="004F4E50" w:rsidP="004F4E50">
      <w:pPr>
        <w:pStyle w:val="ListParagraph"/>
        <w:numPr>
          <w:ilvl w:val="3"/>
          <w:numId w:val="1"/>
        </w:numPr>
        <w:rPr>
          <w:rFonts w:ascii="Arial" w:hAnsi="Arial" w:cs="Arial"/>
        </w:rPr>
      </w:pPr>
      <w:r w:rsidRPr="004F4E50">
        <w:rPr>
          <w:rFonts w:ascii="Arial" w:hAnsi="Arial" w:cs="Arial"/>
        </w:rPr>
        <w:t>The Court considered whether the Constitution permits a juvenile offender to be sentenced to life in prison without parole for a nonhomicide crime.</w:t>
      </w:r>
    </w:p>
    <w:p w14:paraId="1BAE1F15" w14:textId="76CC3C25" w:rsidR="004F4E50" w:rsidRDefault="004F4E50" w:rsidP="004F4E50">
      <w:pPr>
        <w:pStyle w:val="ListParagraph"/>
        <w:numPr>
          <w:ilvl w:val="3"/>
          <w:numId w:val="1"/>
        </w:numPr>
        <w:rPr>
          <w:rFonts w:ascii="Arial" w:hAnsi="Arial" w:cs="Arial"/>
        </w:rPr>
      </w:pPr>
      <w:r>
        <w:rPr>
          <w:rFonts w:ascii="Arial" w:hAnsi="Arial" w:cs="Arial"/>
        </w:rPr>
        <w:t xml:space="preserve">Graham </w:t>
      </w:r>
      <w:r w:rsidRPr="004F4E50">
        <w:rPr>
          <w:rFonts w:ascii="Arial" w:hAnsi="Arial" w:cs="Arial"/>
        </w:rPr>
        <w:t>challenged his sentence under the Eighth Amendment’s cruel and unusual punishment clause.</w:t>
      </w:r>
    </w:p>
    <w:p w14:paraId="1188D826" w14:textId="2C56C659" w:rsidR="004F4E50" w:rsidRDefault="004F4E50" w:rsidP="004F4E50">
      <w:pPr>
        <w:pStyle w:val="ListParagraph"/>
        <w:numPr>
          <w:ilvl w:val="3"/>
          <w:numId w:val="1"/>
        </w:numPr>
        <w:rPr>
          <w:rFonts w:ascii="Arial" w:hAnsi="Arial" w:cs="Arial"/>
        </w:rPr>
      </w:pPr>
      <w:r w:rsidRPr="004F4E50">
        <w:rPr>
          <w:rFonts w:ascii="Arial" w:hAnsi="Arial" w:cs="Arial"/>
        </w:rPr>
        <w:t>The majority of the justices agreed with Graham.</w:t>
      </w:r>
    </w:p>
    <w:p w14:paraId="2FDEA693" w14:textId="57EE94B8" w:rsidR="004F4E50" w:rsidRPr="004F4E50" w:rsidRDefault="004F4E50" w:rsidP="004F4E50">
      <w:pPr>
        <w:pStyle w:val="ListParagraph"/>
        <w:numPr>
          <w:ilvl w:val="3"/>
          <w:numId w:val="1"/>
        </w:numPr>
        <w:rPr>
          <w:rFonts w:ascii="Arial" w:hAnsi="Arial" w:cs="Arial"/>
        </w:rPr>
      </w:pPr>
      <w:r>
        <w:rPr>
          <w:rFonts w:ascii="Arial" w:hAnsi="Arial" w:cs="Arial"/>
        </w:rPr>
        <w:t xml:space="preserve">The decision </w:t>
      </w:r>
      <w:r w:rsidRPr="004F4E50">
        <w:rPr>
          <w:rFonts w:ascii="Arial" w:hAnsi="Arial" w:cs="Arial"/>
        </w:rPr>
        <w:t>held that a type of punishment—life without the possibility of parole—could not be imposed on an entire category of offenders—juveniles.</w:t>
      </w:r>
    </w:p>
    <w:p w14:paraId="2C6BD550" w14:textId="43AD18D1" w:rsidR="00D00705" w:rsidRDefault="00D00705" w:rsidP="00D00705">
      <w:pPr>
        <w:pStyle w:val="ListParagraph"/>
        <w:numPr>
          <w:ilvl w:val="2"/>
          <w:numId w:val="1"/>
        </w:numPr>
        <w:rPr>
          <w:rFonts w:ascii="Arial" w:hAnsi="Arial" w:cs="Arial"/>
          <w:b/>
          <w:bCs/>
          <w:i/>
          <w:iCs/>
        </w:rPr>
      </w:pPr>
      <w:r w:rsidRPr="00D00705">
        <w:rPr>
          <w:rFonts w:ascii="Arial" w:hAnsi="Arial" w:cs="Arial"/>
          <w:b/>
          <w:bCs/>
          <w:i/>
          <w:iCs/>
        </w:rPr>
        <w:t>Miller v. Alabama (2012)</w:t>
      </w:r>
    </w:p>
    <w:p w14:paraId="59568F7C" w14:textId="77777777" w:rsidR="004F4E50" w:rsidRDefault="004F4E50" w:rsidP="004F4E50">
      <w:pPr>
        <w:pStyle w:val="ListParagraph"/>
        <w:numPr>
          <w:ilvl w:val="3"/>
          <w:numId w:val="1"/>
        </w:numPr>
        <w:rPr>
          <w:rFonts w:ascii="Arial" w:hAnsi="Arial" w:cs="Arial"/>
        </w:rPr>
      </w:pPr>
      <w:r>
        <w:rPr>
          <w:rFonts w:ascii="Arial" w:hAnsi="Arial" w:cs="Arial"/>
        </w:rPr>
        <w:t>T</w:t>
      </w:r>
      <w:r w:rsidRPr="004F4E50">
        <w:rPr>
          <w:rFonts w:ascii="Arial" w:hAnsi="Arial" w:cs="Arial"/>
        </w:rPr>
        <w:t>he Court addressed the question of whether juveniles found guilty of homicide could be sentenced to life in prison without the possibility of parole.</w:t>
      </w:r>
    </w:p>
    <w:p w14:paraId="21E442B6" w14:textId="31A67155" w:rsidR="004F4E50" w:rsidRDefault="004F4E50" w:rsidP="004F4E50">
      <w:pPr>
        <w:pStyle w:val="ListParagraph"/>
        <w:numPr>
          <w:ilvl w:val="3"/>
          <w:numId w:val="1"/>
        </w:numPr>
        <w:rPr>
          <w:rFonts w:ascii="Arial" w:hAnsi="Arial" w:cs="Arial"/>
        </w:rPr>
      </w:pPr>
      <w:r w:rsidRPr="004F4E50">
        <w:rPr>
          <w:rFonts w:ascii="Arial" w:hAnsi="Arial" w:cs="Arial"/>
        </w:rPr>
        <w:t>The juveniles claimed that the imposition of such a sentence amounted to cruel and unusual punishment for much the same reasons the Court gave in Graham.</w:t>
      </w:r>
    </w:p>
    <w:p w14:paraId="61BE41DD" w14:textId="64D66319" w:rsidR="004F4E50" w:rsidRPr="004F4E50" w:rsidRDefault="004F4E50" w:rsidP="004F4E50">
      <w:pPr>
        <w:pStyle w:val="ListParagraph"/>
        <w:numPr>
          <w:ilvl w:val="3"/>
          <w:numId w:val="1"/>
        </w:numPr>
        <w:rPr>
          <w:rFonts w:ascii="Arial" w:hAnsi="Arial" w:cs="Arial"/>
        </w:rPr>
      </w:pPr>
      <w:r>
        <w:rPr>
          <w:rFonts w:ascii="Arial" w:hAnsi="Arial" w:cs="Arial"/>
        </w:rPr>
        <w:t>A five-person majority agreed.</w:t>
      </w:r>
    </w:p>
    <w:p w14:paraId="690D5E34" w14:textId="2D256D7D" w:rsidR="00AB1B91" w:rsidRDefault="00AB1B91" w:rsidP="00AB1B91">
      <w:pPr>
        <w:pStyle w:val="ListParagraph"/>
        <w:numPr>
          <w:ilvl w:val="1"/>
          <w:numId w:val="1"/>
        </w:numPr>
        <w:rPr>
          <w:rFonts w:ascii="Arial" w:hAnsi="Arial" w:cs="Arial"/>
        </w:rPr>
      </w:pPr>
      <w:r w:rsidRPr="00AB1B91">
        <w:rPr>
          <w:rFonts w:ascii="Arial" w:hAnsi="Arial" w:cs="Arial"/>
        </w:rPr>
        <w:t>Capital Punishment: Foundations</w:t>
      </w:r>
    </w:p>
    <w:p w14:paraId="37D47629" w14:textId="062024E5" w:rsidR="00D00705" w:rsidRDefault="00D00705" w:rsidP="00D00705">
      <w:pPr>
        <w:pStyle w:val="ListParagraph"/>
        <w:numPr>
          <w:ilvl w:val="2"/>
          <w:numId w:val="1"/>
        </w:numPr>
        <w:rPr>
          <w:rFonts w:ascii="Arial" w:hAnsi="Arial" w:cs="Arial"/>
          <w:b/>
          <w:bCs/>
          <w:i/>
          <w:iCs/>
        </w:rPr>
      </w:pPr>
      <w:r w:rsidRPr="00D00705">
        <w:rPr>
          <w:rFonts w:ascii="Arial" w:hAnsi="Arial" w:cs="Arial"/>
          <w:b/>
          <w:bCs/>
          <w:i/>
          <w:iCs/>
        </w:rPr>
        <w:t>Furman v. Georgia (1972)</w:t>
      </w:r>
    </w:p>
    <w:p w14:paraId="03CA3FDD" w14:textId="77777777" w:rsidR="004F4E50" w:rsidRDefault="004F4E50" w:rsidP="004F4E50">
      <w:pPr>
        <w:pStyle w:val="ListParagraph"/>
        <w:numPr>
          <w:ilvl w:val="3"/>
          <w:numId w:val="1"/>
        </w:numPr>
        <w:rPr>
          <w:rFonts w:ascii="Arial" w:hAnsi="Arial" w:cs="Arial"/>
        </w:rPr>
      </w:pPr>
      <w:r w:rsidRPr="004F4E50">
        <w:rPr>
          <w:rFonts w:ascii="Arial" w:hAnsi="Arial" w:cs="Arial"/>
        </w:rPr>
        <w:t>William Furman, a Black man, was accused of murdering a white man, the father of five children.</w:t>
      </w:r>
    </w:p>
    <w:p w14:paraId="60A9AE99" w14:textId="77777777" w:rsidR="004F4E50" w:rsidRDefault="004F4E50" w:rsidP="004F4E50">
      <w:pPr>
        <w:pStyle w:val="ListParagraph"/>
        <w:numPr>
          <w:ilvl w:val="3"/>
          <w:numId w:val="1"/>
        </w:numPr>
        <w:rPr>
          <w:rFonts w:ascii="Arial" w:hAnsi="Arial" w:cs="Arial"/>
        </w:rPr>
      </w:pPr>
      <w:r w:rsidRPr="004F4E50">
        <w:rPr>
          <w:rFonts w:ascii="Arial" w:hAnsi="Arial" w:cs="Arial"/>
        </w:rPr>
        <w:t>Under Georgia law, the jury determined whether a convicted murderer should be put to death.</w:t>
      </w:r>
    </w:p>
    <w:p w14:paraId="7133DAA2" w14:textId="77777777" w:rsidR="004F4E50" w:rsidRDefault="004F4E50" w:rsidP="004F4E50">
      <w:pPr>
        <w:pStyle w:val="ListParagraph"/>
        <w:numPr>
          <w:ilvl w:val="3"/>
          <w:numId w:val="1"/>
        </w:numPr>
        <w:rPr>
          <w:rFonts w:ascii="Arial" w:hAnsi="Arial" w:cs="Arial"/>
        </w:rPr>
      </w:pPr>
      <w:r w:rsidRPr="004F4E50">
        <w:rPr>
          <w:rFonts w:ascii="Arial" w:hAnsi="Arial" w:cs="Arial"/>
        </w:rPr>
        <w:t>This system, the NAACP Legal Defense and Educational Fund argued, led to unacceptable disparities in sentencing</w:t>
      </w:r>
      <w:r>
        <w:rPr>
          <w:rFonts w:ascii="Arial" w:hAnsi="Arial" w:cs="Arial"/>
        </w:rPr>
        <w:t>.</w:t>
      </w:r>
    </w:p>
    <w:p w14:paraId="18AC5137" w14:textId="6D5779F3" w:rsidR="004F4E50" w:rsidRDefault="004F4E50" w:rsidP="004F4E50">
      <w:pPr>
        <w:pStyle w:val="ListParagraph"/>
        <w:numPr>
          <w:ilvl w:val="3"/>
          <w:numId w:val="1"/>
        </w:numPr>
        <w:rPr>
          <w:rFonts w:ascii="Arial" w:hAnsi="Arial" w:cs="Arial"/>
        </w:rPr>
      </w:pPr>
      <w:r w:rsidRPr="004F4E50">
        <w:rPr>
          <w:rFonts w:ascii="Arial" w:hAnsi="Arial" w:cs="Arial"/>
        </w:rPr>
        <w:t>Black defendants convicted of murdering whites were far more likely to receive the death penalty than were whites convicted of the same crime.</w:t>
      </w:r>
    </w:p>
    <w:p w14:paraId="55EB0AF2" w14:textId="1A24F71F" w:rsidR="004F4E50" w:rsidRDefault="004F4E50" w:rsidP="004F4E50">
      <w:pPr>
        <w:pStyle w:val="ListParagraph"/>
        <w:numPr>
          <w:ilvl w:val="3"/>
          <w:numId w:val="1"/>
        </w:numPr>
        <w:rPr>
          <w:rFonts w:ascii="Arial" w:hAnsi="Arial" w:cs="Arial"/>
        </w:rPr>
      </w:pPr>
      <w:r w:rsidRPr="004F4E50">
        <w:rPr>
          <w:rFonts w:ascii="Arial" w:hAnsi="Arial" w:cs="Arial"/>
        </w:rPr>
        <w:t>A divided Supreme Court agreed with the LDF.</w:t>
      </w:r>
    </w:p>
    <w:p w14:paraId="0043D820" w14:textId="14AC633D" w:rsidR="004F4E50" w:rsidRPr="004F4E50" w:rsidRDefault="004F4E50" w:rsidP="004F4E50">
      <w:pPr>
        <w:pStyle w:val="ListParagraph"/>
        <w:numPr>
          <w:ilvl w:val="3"/>
          <w:numId w:val="1"/>
        </w:numPr>
        <w:rPr>
          <w:rFonts w:ascii="Arial" w:hAnsi="Arial" w:cs="Arial"/>
        </w:rPr>
      </w:pPr>
      <w:r w:rsidRPr="004F4E50">
        <w:rPr>
          <w:rFonts w:ascii="Arial" w:hAnsi="Arial" w:cs="Arial"/>
        </w:rPr>
        <w:t>The views presented in the opinions of the five-member majority varied considerably</w:t>
      </w:r>
      <w:r>
        <w:rPr>
          <w:rFonts w:ascii="Arial" w:hAnsi="Arial" w:cs="Arial"/>
        </w:rPr>
        <w:t>.</w:t>
      </w:r>
    </w:p>
    <w:p w14:paraId="4B14C8BF" w14:textId="08435C2C" w:rsidR="00D00705" w:rsidRDefault="00D00705" w:rsidP="00D00705">
      <w:pPr>
        <w:pStyle w:val="ListParagraph"/>
        <w:numPr>
          <w:ilvl w:val="2"/>
          <w:numId w:val="1"/>
        </w:numPr>
        <w:rPr>
          <w:rFonts w:ascii="Arial" w:hAnsi="Arial" w:cs="Arial"/>
          <w:i/>
          <w:iCs/>
        </w:rPr>
      </w:pPr>
      <w:r w:rsidRPr="00D00705">
        <w:rPr>
          <w:rFonts w:ascii="Arial" w:hAnsi="Arial" w:cs="Arial"/>
          <w:i/>
          <w:iCs/>
        </w:rPr>
        <w:t>Gregg v. Georgia (1976)</w:t>
      </w:r>
    </w:p>
    <w:p w14:paraId="5E199BCF" w14:textId="5A185988" w:rsidR="00D51681" w:rsidRDefault="00D51681" w:rsidP="00D51681">
      <w:pPr>
        <w:pStyle w:val="ListParagraph"/>
        <w:numPr>
          <w:ilvl w:val="3"/>
          <w:numId w:val="1"/>
        </w:numPr>
        <w:rPr>
          <w:rFonts w:ascii="Arial" w:hAnsi="Arial" w:cs="Arial"/>
        </w:rPr>
      </w:pPr>
      <w:r w:rsidRPr="00D51681">
        <w:rPr>
          <w:rFonts w:ascii="Arial" w:hAnsi="Arial" w:cs="Arial"/>
        </w:rPr>
        <w:t>The Court considered the constitutionality of a new breed of death penalty laws written to overcome the defects of the old laws.</w:t>
      </w:r>
    </w:p>
    <w:p w14:paraId="02BAB2B1" w14:textId="34EE98F3" w:rsidR="00D51681" w:rsidRDefault="00D51681" w:rsidP="00D51681">
      <w:pPr>
        <w:pStyle w:val="ListParagraph"/>
        <w:numPr>
          <w:ilvl w:val="3"/>
          <w:numId w:val="1"/>
        </w:numPr>
        <w:rPr>
          <w:rFonts w:ascii="Arial" w:hAnsi="Arial" w:cs="Arial"/>
        </w:rPr>
      </w:pPr>
      <w:r w:rsidRPr="00D51681">
        <w:rPr>
          <w:rFonts w:ascii="Arial" w:hAnsi="Arial" w:cs="Arial"/>
        </w:rPr>
        <w:t xml:space="preserve">With only two justices dissenting, the Court held </w:t>
      </w:r>
      <w:r>
        <w:rPr>
          <w:rFonts w:ascii="Arial" w:hAnsi="Arial" w:cs="Arial"/>
        </w:rPr>
        <w:t>a</w:t>
      </w:r>
      <w:r w:rsidRPr="00D51681">
        <w:rPr>
          <w:rFonts w:ascii="Arial" w:hAnsi="Arial" w:cs="Arial"/>
        </w:rPr>
        <w:t xml:space="preserve"> Georgia law was constitutional</w:t>
      </w:r>
      <w:r>
        <w:rPr>
          <w:rFonts w:ascii="Arial" w:hAnsi="Arial" w:cs="Arial"/>
        </w:rPr>
        <w:t>.</w:t>
      </w:r>
    </w:p>
    <w:p w14:paraId="7B1AA7E7" w14:textId="7FB0406C" w:rsidR="00D51681" w:rsidRDefault="00D51681" w:rsidP="00D51681">
      <w:pPr>
        <w:pStyle w:val="ListParagraph"/>
        <w:numPr>
          <w:ilvl w:val="3"/>
          <w:numId w:val="1"/>
        </w:numPr>
        <w:rPr>
          <w:rFonts w:ascii="Arial" w:hAnsi="Arial" w:cs="Arial"/>
        </w:rPr>
      </w:pPr>
      <w:r>
        <w:rPr>
          <w:rFonts w:ascii="Arial" w:hAnsi="Arial" w:cs="Arial"/>
        </w:rPr>
        <w:lastRenderedPageBreak/>
        <w:t>M</w:t>
      </w:r>
      <w:r w:rsidRPr="00D51681">
        <w:rPr>
          <w:rFonts w:ascii="Arial" w:hAnsi="Arial" w:cs="Arial"/>
        </w:rPr>
        <w:t xml:space="preserve">embership change on the Court occurred between the </w:t>
      </w:r>
      <w:r w:rsidRPr="00D51681">
        <w:rPr>
          <w:rFonts w:ascii="Arial" w:hAnsi="Arial" w:cs="Arial"/>
          <w:i/>
          <w:iCs/>
        </w:rPr>
        <w:t>Furman</w:t>
      </w:r>
      <w:r>
        <w:rPr>
          <w:rFonts w:ascii="Arial" w:hAnsi="Arial" w:cs="Arial"/>
        </w:rPr>
        <w:t xml:space="preserve"> and </w:t>
      </w:r>
      <w:r w:rsidRPr="00D51681">
        <w:rPr>
          <w:rFonts w:ascii="Arial" w:hAnsi="Arial" w:cs="Arial"/>
          <w:i/>
          <w:iCs/>
        </w:rPr>
        <w:t>Gregg</w:t>
      </w:r>
      <w:r w:rsidRPr="00D51681">
        <w:rPr>
          <w:rFonts w:ascii="Arial" w:hAnsi="Arial" w:cs="Arial"/>
        </w:rPr>
        <w:t xml:space="preserve"> cases</w:t>
      </w:r>
      <w:r>
        <w:rPr>
          <w:rFonts w:ascii="Arial" w:hAnsi="Arial" w:cs="Arial"/>
        </w:rPr>
        <w:t>.</w:t>
      </w:r>
    </w:p>
    <w:p w14:paraId="410D212F" w14:textId="303DFF1A" w:rsidR="00D51681" w:rsidRPr="00D51681" w:rsidRDefault="00D51681" w:rsidP="00D51681">
      <w:pPr>
        <w:pStyle w:val="ListParagraph"/>
        <w:numPr>
          <w:ilvl w:val="3"/>
          <w:numId w:val="1"/>
        </w:numPr>
        <w:rPr>
          <w:rFonts w:ascii="Arial" w:hAnsi="Arial" w:cs="Arial"/>
        </w:rPr>
      </w:pPr>
      <w:r>
        <w:rPr>
          <w:rFonts w:ascii="Arial" w:hAnsi="Arial" w:cs="Arial"/>
        </w:rPr>
        <w:t>Public support for the death penalty also increased between them.</w:t>
      </w:r>
    </w:p>
    <w:p w14:paraId="1B25C3D7" w14:textId="07BB1690" w:rsidR="00AB1B91" w:rsidRDefault="00AB1B91" w:rsidP="00AB1B91">
      <w:pPr>
        <w:pStyle w:val="ListParagraph"/>
        <w:numPr>
          <w:ilvl w:val="1"/>
          <w:numId w:val="1"/>
        </w:numPr>
        <w:rPr>
          <w:rFonts w:ascii="Arial" w:hAnsi="Arial" w:cs="Arial"/>
        </w:rPr>
      </w:pPr>
      <w:r w:rsidRPr="00AB1B91">
        <w:rPr>
          <w:rFonts w:ascii="Arial" w:hAnsi="Arial" w:cs="Arial"/>
        </w:rPr>
        <w:t>The Current State of the Death Penalty</w:t>
      </w:r>
    </w:p>
    <w:p w14:paraId="5C949BC6" w14:textId="76100E9C" w:rsidR="00D51681" w:rsidRDefault="00D51681" w:rsidP="00D00705">
      <w:pPr>
        <w:pStyle w:val="ListParagraph"/>
        <w:numPr>
          <w:ilvl w:val="2"/>
          <w:numId w:val="1"/>
        </w:numPr>
        <w:rPr>
          <w:rFonts w:ascii="Arial" w:hAnsi="Arial" w:cs="Arial"/>
          <w:i/>
          <w:iCs/>
        </w:rPr>
      </w:pPr>
      <w:r w:rsidRPr="00D51681">
        <w:rPr>
          <w:rFonts w:ascii="Arial" w:hAnsi="Arial" w:cs="Arial"/>
          <w:i/>
          <w:iCs/>
        </w:rPr>
        <w:t>Eddings v. Oklahoma (1982)</w:t>
      </w:r>
    </w:p>
    <w:p w14:paraId="453B25C9" w14:textId="427D39C7" w:rsidR="00D51681" w:rsidRDefault="00D51681" w:rsidP="00D51681">
      <w:pPr>
        <w:pStyle w:val="ListParagraph"/>
        <w:numPr>
          <w:ilvl w:val="3"/>
          <w:numId w:val="1"/>
        </w:numPr>
        <w:rPr>
          <w:rFonts w:ascii="Arial" w:hAnsi="Arial" w:cs="Arial"/>
        </w:rPr>
      </w:pPr>
      <w:r w:rsidRPr="00D51681">
        <w:rPr>
          <w:rFonts w:ascii="Arial" w:hAnsi="Arial" w:cs="Arial"/>
        </w:rPr>
        <w:t>The Court held that a trial court judge could not refuse to hear mitigating evidence pointing to the defendant’s youth, troubled childhood, and history of mental problems.</w:t>
      </w:r>
    </w:p>
    <w:p w14:paraId="72671645" w14:textId="20FE7328" w:rsidR="00D00705" w:rsidRDefault="00D00705" w:rsidP="00D00705">
      <w:pPr>
        <w:pStyle w:val="ListParagraph"/>
        <w:numPr>
          <w:ilvl w:val="2"/>
          <w:numId w:val="1"/>
        </w:numPr>
        <w:rPr>
          <w:rFonts w:ascii="Arial" w:hAnsi="Arial" w:cs="Arial"/>
          <w:b/>
          <w:bCs/>
          <w:i/>
          <w:iCs/>
        </w:rPr>
      </w:pPr>
      <w:r w:rsidRPr="00D00705">
        <w:rPr>
          <w:rFonts w:ascii="Arial" w:hAnsi="Arial" w:cs="Arial"/>
          <w:b/>
          <w:bCs/>
          <w:i/>
          <w:iCs/>
        </w:rPr>
        <w:t>McCleskey v. Kemp (1987)</w:t>
      </w:r>
    </w:p>
    <w:p w14:paraId="3840899A" w14:textId="6564C45F" w:rsidR="009F6874" w:rsidRPr="009F6874" w:rsidRDefault="009F6874" w:rsidP="009F6874">
      <w:pPr>
        <w:pStyle w:val="ListParagraph"/>
        <w:numPr>
          <w:ilvl w:val="3"/>
          <w:numId w:val="1"/>
        </w:numPr>
        <w:rPr>
          <w:rFonts w:ascii="Arial" w:hAnsi="Arial" w:cs="Arial"/>
        </w:rPr>
      </w:pPr>
      <w:r w:rsidRPr="009F6874">
        <w:rPr>
          <w:rFonts w:ascii="Arial" w:hAnsi="Arial" w:cs="Arial"/>
        </w:rPr>
        <w:t>Despite statistical evidence showing that Black defendants were 1.1 times more likely than other defendants to receive death sentences, the Court rejected arguments that the disparate application of death penalty laws violates the Constitution.</w:t>
      </w:r>
    </w:p>
    <w:p w14:paraId="7206C032" w14:textId="2F130D9E" w:rsidR="00D00705" w:rsidRDefault="00D00705" w:rsidP="00D00705">
      <w:pPr>
        <w:pStyle w:val="ListParagraph"/>
        <w:numPr>
          <w:ilvl w:val="2"/>
          <w:numId w:val="1"/>
        </w:numPr>
        <w:rPr>
          <w:rFonts w:ascii="Arial" w:hAnsi="Arial" w:cs="Arial"/>
          <w:i/>
          <w:iCs/>
        </w:rPr>
      </w:pPr>
      <w:r w:rsidRPr="00D00705">
        <w:rPr>
          <w:rFonts w:ascii="Arial" w:hAnsi="Arial" w:cs="Arial"/>
          <w:i/>
          <w:iCs/>
        </w:rPr>
        <w:t>Atkins v. Virginia (2002)</w:t>
      </w:r>
    </w:p>
    <w:p w14:paraId="1EEB3B55" w14:textId="7DBCEB00" w:rsidR="009F6874" w:rsidRDefault="009F6874" w:rsidP="009F6874">
      <w:pPr>
        <w:pStyle w:val="ListParagraph"/>
        <w:numPr>
          <w:ilvl w:val="3"/>
          <w:numId w:val="1"/>
        </w:numPr>
        <w:rPr>
          <w:rFonts w:ascii="Arial" w:hAnsi="Arial" w:cs="Arial"/>
        </w:rPr>
      </w:pPr>
      <w:r>
        <w:rPr>
          <w:rFonts w:ascii="Arial" w:hAnsi="Arial" w:cs="Arial"/>
        </w:rPr>
        <w:t>T</w:t>
      </w:r>
      <w:r w:rsidRPr="009F6874">
        <w:rPr>
          <w:rFonts w:ascii="Arial" w:hAnsi="Arial" w:cs="Arial"/>
        </w:rPr>
        <w:t xml:space="preserve">he Court revisited its controversial ruling in </w:t>
      </w:r>
      <w:r w:rsidRPr="009F6874">
        <w:rPr>
          <w:rFonts w:ascii="Arial" w:hAnsi="Arial" w:cs="Arial"/>
          <w:i/>
          <w:iCs/>
        </w:rPr>
        <w:t>Penry v. Lynaugh (1989)</w:t>
      </w:r>
      <w:r w:rsidRPr="009F6874">
        <w:rPr>
          <w:rFonts w:ascii="Arial" w:hAnsi="Arial" w:cs="Arial"/>
        </w:rPr>
        <w:t xml:space="preserve"> that the Eighth Amendment does not categorically prohibit the execution of an intellectually disabled defendant convicted of capital murder.</w:t>
      </w:r>
    </w:p>
    <w:p w14:paraId="324BCD90" w14:textId="34F9DE81" w:rsidR="009F6874" w:rsidRPr="009F6874" w:rsidRDefault="009F6874" w:rsidP="009F6874">
      <w:pPr>
        <w:pStyle w:val="ListParagraph"/>
        <w:numPr>
          <w:ilvl w:val="3"/>
          <w:numId w:val="1"/>
        </w:numPr>
        <w:rPr>
          <w:rFonts w:ascii="Arial" w:hAnsi="Arial" w:cs="Arial"/>
        </w:rPr>
      </w:pPr>
      <w:r>
        <w:rPr>
          <w:rFonts w:ascii="Arial" w:hAnsi="Arial" w:cs="Arial"/>
        </w:rPr>
        <w:t>T</w:t>
      </w:r>
      <w:r w:rsidRPr="009F6874">
        <w:rPr>
          <w:rFonts w:ascii="Arial" w:hAnsi="Arial" w:cs="Arial"/>
        </w:rPr>
        <w:t>he Court’s decision was clear: states cannot impose the death penalty on the intellectually disabled.</w:t>
      </w:r>
    </w:p>
    <w:p w14:paraId="34866853" w14:textId="2EA7477D" w:rsidR="00D00705" w:rsidRDefault="00D00705" w:rsidP="00D00705">
      <w:pPr>
        <w:pStyle w:val="ListParagraph"/>
        <w:numPr>
          <w:ilvl w:val="2"/>
          <w:numId w:val="1"/>
        </w:numPr>
        <w:rPr>
          <w:rFonts w:ascii="Arial" w:hAnsi="Arial" w:cs="Arial"/>
          <w:b/>
          <w:bCs/>
          <w:i/>
          <w:iCs/>
        </w:rPr>
      </w:pPr>
      <w:r w:rsidRPr="00D00705">
        <w:rPr>
          <w:rFonts w:ascii="Arial" w:hAnsi="Arial" w:cs="Arial"/>
          <w:b/>
          <w:bCs/>
          <w:i/>
          <w:iCs/>
        </w:rPr>
        <w:t>Roper v. Simmons (2005)</w:t>
      </w:r>
    </w:p>
    <w:p w14:paraId="6E29A16D" w14:textId="460F7F46" w:rsidR="009F6874" w:rsidRPr="009F6874" w:rsidRDefault="009F6874" w:rsidP="009F6874">
      <w:pPr>
        <w:pStyle w:val="ListParagraph"/>
        <w:numPr>
          <w:ilvl w:val="3"/>
          <w:numId w:val="1"/>
        </w:numPr>
        <w:rPr>
          <w:rFonts w:ascii="Arial" w:hAnsi="Arial" w:cs="Arial"/>
        </w:rPr>
      </w:pPr>
      <w:r w:rsidRPr="009F6874">
        <w:rPr>
          <w:rFonts w:ascii="Arial" w:hAnsi="Arial" w:cs="Arial"/>
        </w:rPr>
        <w:t>The Court exempted juvenile defendants</w:t>
      </w:r>
      <w:r>
        <w:rPr>
          <w:rFonts w:ascii="Arial" w:hAnsi="Arial" w:cs="Arial"/>
        </w:rPr>
        <w:t xml:space="preserve"> from the death penalty</w:t>
      </w:r>
      <w:r w:rsidRPr="009F6874">
        <w:rPr>
          <w:rFonts w:ascii="Arial" w:hAnsi="Arial" w:cs="Arial"/>
        </w:rPr>
        <w:t>.</w:t>
      </w:r>
    </w:p>
    <w:p w14:paraId="74741D85" w14:textId="79E9CFC2" w:rsidR="00FE1CCD" w:rsidRDefault="00FE1CCD" w:rsidP="00D00705">
      <w:pPr>
        <w:pStyle w:val="ListParagraph"/>
        <w:numPr>
          <w:ilvl w:val="2"/>
          <w:numId w:val="1"/>
        </w:numPr>
        <w:rPr>
          <w:rFonts w:ascii="Arial" w:hAnsi="Arial" w:cs="Arial"/>
          <w:b/>
          <w:bCs/>
          <w:i/>
          <w:iCs/>
        </w:rPr>
      </w:pPr>
      <w:r w:rsidRPr="00FE1CCD">
        <w:rPr>
          <w:rFonts w:ascii="Arial" w:hAnsi="Arial" w:cs="Arial"/>
          <w:b/>
          <w:bCs/>
          <w:i/>
          <w:iCs/>
        </w:rPr>
        <w:t>Kennedy v. Louisiana (2008)</w:t>
      </w:r>
    </w:p>
    <w:p w14:paraId="1C0D5200" w14:textId="4C139FE6" w:rsidR="009F6874" w:rsidRPr="009F6874" w:rsidRDefault="009F6874" w:rsidP="009F6874">
      <w:pPr>
        <w:pStyle w:val="ListParagraph"/>
        <w:numPr>
          <w:ilvl w:val="3"/>
          <w:numId w:val="1"/>
        </w:numPr>
        <w:rPr>
          <w:rFonts w:ascii="Arial" w:hAnsi="Arial" w:cs="Arial"/>
        </w:rPr>
      </w:pPr>
      <w:r w:rsidRPr="009F6874">
        <w:rPr>
          <w:rFonts w:ascii="Arial" w:hAnsi="Arial" w:cs="Arial"/>
        </w:rPr>
        <w:t>The Court exempted the crime of child rape from the death penalty.</w:t>
      </w:r>
    </w:p>
    <w:p w14:paraId="5B720272" w14:textId="6590AFCD" w:rsidR="00AB1B91" w:rsidRDefault="00AB1B91" w:rsidP="00AB1B91">
      <w:pPr>
        <w:pStyle w:val="ListParagraph"/>
        <w:numPr>
          <w:ilvl w:val="0"/>
          <w:numId w:val="1"/>
        </w:numPr>
        <w:rPr>
          <w:rFonts w:ascii="Arial" w:hAnsi="Arial" w:cs="Arial"/>
        </w:rPr>
      </w:pPr>
      <w:r w:rsidRPr="00AB1B91">
        <w:rPr>
          <w:rFonts w:ascii="Arial" w:hAnsi="Arial" w:cs="Arial"/>
        </w:rPr>
        <w:t>Posttrial Protections and the Double Jeopardy Clause</w:t>
      </w:r>
    </w:p>
    <w:p w14:paraId="76129677" w14:textId="01CBC22B" w:rsidR="009F6874" w:rsidRDefault="009F6874" w:rsidP="00FE1CCD">
      <w:pPr>
        <w:pStyle w:val="ListParagraph"/>
        <w:numPr>
          <w:ilvl w:val="1"/>
          <w:numId w:val="1"/>
        </w:numPr>
        <w:rPr>
          <w:rFonts w:ascii="Arial" w:hAnsi="Arial" w:cs="Arial"/>
          <w:b/>
          <w:bCs/>
          <w:i/>
          <w:iCs/>
        </w:rPr>
      </w:pPr>
      <w:r w:rsidRPr="009F6874">
        <w:rPr>
          <w:rFonts w:ascii="Arial" w:hAnsi="Arial" w:cs="Arial"/>
          <w:b/>
          <w:bCs/>
          <w:i/>
          <w:iCs/>
        </w:rPr>
        <w:t>Ashe v. Swenson (1970)</w:t>
      </w:r>
    </w:p>
    <w:p w14:paraId="468D8F5F" w14:textId="77777777" w:rsidR="009F6874" w:rsidRDefault="009F6874" w:rsidP="009F6874">
      <w:pPr>
        <w:pStyle w:val="ListParagraph"/>
        <w:numPr>
          <w:ilvl w:val="2"/>
          <w:numId w:val="1"/>
        </w:numPr>
        <w:rPr>
          <w:rFonts w:ascii="Arial" w:hAnsi="Arial" w:cs="Arial"/>
        </w:rPr>
      </w:pPr>
      <w:r w:rsidRPr="009F6874">
        <w:rPr>
          <w:rFonts w:ascii="Arial" w:hAnsi="Arial" w:cs="Arial"/>
        </w:rPr>
        <w:t>Bob Fred Ashe, along with others, was charged with breaking into a house and robbing its owner and five others who were playing poker.</w:t>
      </w:r>
    </w:p>
    <w:p w14:paraId="170AC18C" w14:textId="77777777" w:rsidR="009F6874" w:rsidRDefault="009F6874" w:rsidP="009F6874">
      <w:pPr>
        <w:pStyle w:val="ListParagraph"/>
        <w:numPr>
          <w:ilvl w:val="2"/>
          <w:numId w:val="1"/>
        </w:numPr>
        <w:rPr>
          <w:rFonts w:ascii="Arial" w:hAnsi="Arial" w:cs="Arial"/>
        </w:rPr>
      </w:pPr>
      <w:r w:rsidRPr="009F6874">
        <w:rPr>
          <w:rFonts w:ascii="Arial" w:hAnsi="Arial" w:cs="Arial"/>
        </w:rPr>
        <w:t>The prosecutor tried Ashe for robbing one of the poker players.</w:t>
      </w:r>
    </w:p>
    <w:p w14:paraId="64BAE35C" w14:textId="77777777" w:rsidR="009F6874" w:rsidRDefault="009F6874" w:rsidP="009F6874">
      <w:pPr>
        <w:pStyle w:val="ListParagraph"/>
        <w:numPr>
          <w:ilvl w:val="2"/>
          <w:numId w:val="1"/>
        </w:numPr>
        <w:rPr>
          <w:rFonts w:ascii="Arial" w:hAnsi="Arial" w:cs="Arial"/>
        </w:rPr>
      </w:pPr>
      <w:r w:rsidRPr="009F6874">
        <w:rPr>
          <w:rFonts w:ascii="Arial" w:hAnsi="Arial" w:cs="Arial"/>
        </w:rPr>
        <w:t>That trial ended in a verdict of not guilty because of insufficient evidence.</w:t>
      </w:r>
    </w:p>
    <w:p w14:paraId="2D14D661" w14:textId="77777777" w:rsidR="009F6874" w:rsidRDefault="009F6874" w:rsidP="009F6874">
      <w:pPr>
        <w:pStyle w:val="ListParagraph"/>
        <w:numPr>
          <w:ilvl w:val="2"/>
          <w:numId w:val="1"/>
        </w:numPr>
        <w:rPr>
          <w:rFonts w:ascii="Arial" w:hAnsi="Arial" w:cs="Arial"/>
        </w:rPr>
      </w:pPr>
      <w:r w:rsidRPr="009F6874">
        <w:rPr>
          <w:rFonts w:ascii="Arial" w:hAnsi="Arial" w:cs="Arial"/>
        </w:rPr>
        <w:t>Six weeks later, the prosecutor charged Ashe with robbing another member of the poker party and this time got a conviction.</w:t>
      </w:r>
    </w:p>
    <w:p w14:paraId="7804BF1E" w14:textId="77777777" w:rsidR="009F6874" w:rsidRDefault="009F6874" w:rsidP="009F6874">
      <w:pPr>
        <w:pStyle w:val="ListParagraph"/>
        <w:numPr>
          <w:ilvl w:val="2"/>
          <w:numId w:val="1"/>
        </w:numPr>
        <w:rPr>
          <w:rFonts w:ascii="Arial" w:hAnsi="Arial" w:cs="Arial"/>
        </w:rPr>
      </w:pPr>
      <w:r w:rsidRPr="009F6874">
        <w:rPr>
          <w:rFonts w:ascii="Arial" w:hAnsi="Arial" w:cs="Arial"/>
        </w:rPr>
        <w:t>Ashe claimed on appeal that the second trial violated his right to be protected from double jeopardy.</w:t>
      </w:r>
    </w:p>
    <w:p w14:paraId="5EC83F81" w14:textId="754876DC" w:rsidR="009F6874" w:rsidRPr="009F6874" w:rsidRDefault="009F6874" w:rsidP="009F6874">
      <w:pPr>
        <w:pStyle w:val="ListParagraph"/>
        <w:numPr>
          <w:ilvl w:val="2"/>
          <w:numId w:val="1"/>
        </w:numPr>
        <w:rPr>
          <w:rFonts w:ascii="Arial" w:hAnsi="Arial" w:cs="Arial"/>
        </w:rPr>
      </w:pPr>
      <w:r w:rsidRPr="009F6874">
        <w:rPr>
          <w:rFonts w:ascii="Arial" w:hAnsi="Arial" w:cs="Arial"/>
        </w:rPr>
        <w:t>The Supreme Court agreed, holding that the robbery was a single offense, although there were multiple victims.</w:t>
      </w:r>
    </w:p>
    <w:p w14:paraId="1FBC6923" w14:textId="6114CD3D" w:rsidR="00FE1CCD" w:rsidRDefault="00FE1CCD" w:rsidP="00FE1CCD">
      <w:pPr>
        <w:pStyle w:val="ListParagraph"/>
        <w:numPr>
          <w:ilvl w:val="1"/>
          <w:numId w:val="1"/>
        </w:numPr>
        <w:rPr>
          <w:rFonts w:ascii="Arial" w:hAnsi="Arial" w:cs="Arial"/>
          <w:b/>
          <w:bCs/>
          <w:i/>
          <w:iCs/>
        </w:rPr>
      </w:pPr>
      <w:r w:rsidRPr="00FE1CCD">
        <w:rPr>
          <w:rFonts w:ascii="Arial" w:hAnsi="Arial" w:cs="Arial"/>
          <w:b/>
          <w:bCs/>
          <w:i/>
          <w:iCs/>
        </w:rPr>
        <w:t>Kansas v. Hendricks (1997)</w:t>
      </w:r>
    </w:p>
    <w:p w14:paraId="77D503FA" w14:textId="4F7D2A97" w:rsidR="009F6874" w:rsidRDefault="009F6874" w:rsidP="009F6874">
      <w:pPr>
        <w:pStyle w:val="ListParagraph"/>
        <w:numPr>
          <w:ilvl w:val="2"/>
          <w:numId w:val="1"/>
        </w:numPr>
        <w:rPr>
          <w:rFonts w:ascii="Arial" w:hAnsi="Arial" w:cs="Arial"/>
        </w:rPr>
      </w:pPr>
      <w:r>
        <w:rPr>
          <w:rFonts w:ascii="Arial" w:hAnsi="Arial" w:cs="Arial"/>
        </w:rPr>
        <w:t>T</w:t>
      </w:r>
      <w:r w:rsidRPr="009F6874">
        <w:rPr>
          <w:rFonts w:ascii="Arial" w:hAnsi="Arial" w:cs="Arial"/>
        </w:rPr>
        <w:t>he Court considered a challenge to a statute that permitted the state to keep certain sexual offenders in custody even after they had served their sentences.</w:t>
      </w:r>
    </w:p>
    <w:p w14:paraId="73109F5F" w14:textId="5066B6D4" w:rsidR="009F6874" w:rsidRDefault="009F6874" w:rsidP="009F6874">
      <w:pPr>
        <w:pStyle w:val="ListParagraph"/>
        <w:numPr>
          <w:ilvl w:val="2"/>
          <w:numId w:val="1"/>
        </w:numPr>
        <w:rPr>
          <w:rFonts w:ascii="Arial" w:hAnsi="Arial" w:cs="Arial"/>
        </w:rPr>
      </w:pPr>
      <w:r w:rsidRPr="009F6874">
        <w:rPr>
          <w:rFonts w:ascii="Arial" w:hAnsi="Arial" w:cs="Arial"/>
        </w:rPr>
        <w:t xml:space="preserve">According to the law, violent sexual predators who have mental abnormalities that prohibit them from controlling their unlawful sexual </w:t>
      </w:r>
      <w:r w:rsidRPr="009F6874">
        <w:rPr>
          <w:rFonts w:ascii="Arial" w:hAnsi="Arial" w:cs="Arial"/>
        </w:rPr>
        <w:lastRenderedPageBreak/>
        <w:t>conduct may be committed to mental health facilities after completion of their criminal sentences.</w:t>
      </w:r>
    </w:p>
    <w:p w14:paraId="75C637CC" w14:textId="77777777" w:rsidR="009F6874" w:rsidRDefault="009F6874" w:rsidP="009F6874">
      <w:pPr>
        <w:pStyle w:val="ListParagraph"/>
        <w:numPr>
          <w:ilvl w:val="2"/>
          <w:numId w:val="1"/>
        </w:numPr>
        <w:rPr>
          <w:rFonts w:ascii="Arial" w:hAnsi="Arial" w:cs="Arial"/>
        </w:rPr>
      </w:pPr>
      <w:r w:rsidRPr="009F6874">
        <w:rPr>
          <w:rFonts w:ascii="Arial" w:hAnsi="Arial" w:cs="Arial"/>
        </w:rPr>
        <w:t>Leroy Hendricks was a pedophile with a forty-year history of sexually molesting young boys and girls.</w:t>
      </w:r>
    </w:p>
    <w:p w14:paraId="016E5264" w14:textId="77777777" w:rsidR="009F6874" w:rsidRDefault="009F6874" w:rsidP="009F6874">
      <w:pPr>
        <w:pStyle w:val="ListParagraph"/>
        <w:numPr>
          <w:ilvl w:val="2"/>
          <w:numId w:val="1"/>
        </w:numPr>
        <w:rPr>
          <w:rFonts w:ascii="Arial" w:hAnsi="Arial" w:cs="Arial"/>
        </w:rPr>
      </w:pPr>
      <w:r w:rsidRPr="009F6874">
        <w:rPr>
          <w:rFonts w:ascii="Arial" w:hAnsi="Arial" w:cs="Arial"/>
        </w:rPr>
        <w:t>In 1984 he was convicted of sexually assaulting two teenage boys.</w:t>
      </w:r>
    </w:p>
    <w:p w14:paraId="286762BE" w14:textId="77777777" w:rsidR="009F6874" w:rsidRDefault="009F6874" w:rsidP="009F6874">
      <w:pPr>
        <w:pStyle w:val="ListParagraph"/>
        <w:numPr>
          <w:ilvl w:val="2"/>
          <w:numId w:val="1"/>
        </w:numPr>
        <w:rPr>
          <w:rFonts w:ascii="Arial" w:hAnsi="Arial" w:cs="Arial"/>
        </w:rPr>
      </w:pPr>
      <w:r w:rsidRPr="009F6874">
        <w:rPr>
          <w:rFonts w:ascii="Arial" w:hAnsi="Arial" w:cs="Arial"/>
        </w:rPr>
        <w:t>As his prison sentence was about to be completed in 1994, Kansas authorities</w:t>
      </w:r>
      <w:r>
        <w:rPr>
          <w:rFonts w:ascii="Arial" w:hAnsi="Arial" w:cs="Arial"/>
        </w:rPr>
        <w:t xml:space="preserve"> </w:t>
      </w:r>
      <w:r w:rsidRPr="009F6874">
        <w:rPr>
          <w:rFonts w:ascii="Arial" w:hAnsi="Arial" w:cs="Arial"/>
        </w:rPr>
        <w:t>initiated proceedings to commit him to a mental institution.</w:t>
      </w:r>
    </w:p>
    <w:p w14:paraId="6AD207D4" w14:textId="77777777" w:rsidR="009F6874" w:rsidRDefault="009F6874" w:rsidP="009F6874">
      <w:pPr>
        <w:pStyle w:val="ListParagraph"/>
        <w:numPr>
          <w:ilvl w:val="2"/>
          <w:numId w:val="1"/>
        </w:numPr>
        <w:rPr>
          <w:rFonts w:ascii="Arial" w:hAnsi="Arial" w:cs="Arial"/>
        </w:rPr>
      </w:pPr>
      <w:r w:rsidRPr="009F6874">
        <w:rPr>
          <w:rFonts w:ascii="Arial" w:hAnsi="Arial" w:cs="Arial"/>
        </w:rPr>
        <w:t>A jury found beyond a reasonable doubt that he should be committed.</w:t>
      </w:r>
    </w:p>
    <w:p w14:paraId="04CD7DFB" w14:textId="77777777" w:rsidR="009F6874" w:rsidRDefault="009F6874" w:rsidP="009F6874">
      <w:pPr>
        <w:pStyle w:val="ListParagraph"/>
        <w:numPr>
          <w:ilvl w:val="2"/>
          <w:numId w:val="1"/>
        </w:numPr>
        <w:rPr>
          <w:rFonts w:ascii="Arial" w:hAnsi="Arial" w:cs="Arial"/>
        </w:rPr>
      </w:pPr>
      <w:r w:rsidRPr="009F6874">
        <w:rPr>
          <w:rFonts w:ascii="Arial" w:hAnsi="Arial" w:cs="Arial"/>
        </w:rPr>
        <w:t>Hendricks appealed, claiming that the commitment constituted a second punishment for his offense in violation of the double jeopardy and due process clauses.</w:t>
      </w:r>
    </w:p>
    <w:p w14:paraId="3A244926" w14:textId="5A66B935" w:rsidR="009F6874" w:rsidRPr="009F6874" w:rsidRDefault="009F6874" w:rsidP="009F6874">
      <w:pPr>
        <w:pStyle w:val="ListParagraph"/>
        <w:numPr>
          <w:ilvl w:val="2"/>
          <w:numId w:val="1"/>
        </w:numPr>
        <w:rPr>
          <w:rFonts w:ascii="Arial" w:hAnsi="Arial" w:cs="Arial"/>
        </w:rPr>
      </w:pPr>
      <w:r w:rsidRPr="009F6874">
        <w:rPr>
          <w:rFonts w:ascii="Arial" w:hAnsi="Arial" w:cs="Arial"/>
        </w:rPr>
        <w:t>A closely divided Supreme Court upheld the law</w:t>
      </w:r>
      <w:r>
        <w:rPr>
          <w:rFonts w:ascii="Arial" w:hAnsi="Arial" w:cs="Arial"/>
        </w:rPr>
        <w:t>.</w:t>
      </w:r>
    </w:p>
    <w:p w14:paraId="2C832234" w14:textId="579D07F7" w:rsidR="00AB1B91" w:rsidRDefault="00AB1B91" w:rsidP="00AB1B91">
      <w:pPr>
        <w:pStyle w:val="ListParagraph"/>
        <w:numPr>
          <w:ilvl w:val="0"/>
          <w:numId w:val="1"/>
        </w:numPr>
        <w:rPr>
          <w:rFonts w:ascii="Arial" w:hAnsi="Arial" w:cs="Arial"/>
        </w:rPr>
      </w:pPr>
      <w:r w:rsidRPr="00AB1B91">
        <w:rPr>
          <w:rFonts w:ascii="Arial" w:hAnsi="Arial" w:cs="Arial"/>
        </w:rPr>
        <w:t>Postrelease Protections</w:t>
      </w:r>
    </w:p>
    <w:p w14:paraId="046A652B" w14:textId="3A88FA5F" w:rsidR="00FE1CCD" w:rsidRDefault="00FE1CCD" w:rsidP="00FE1CCD">
      <w:pPr>
        <w:pStyle w:val="ListParagraph"/>
        <w:numPr>
          <w:ilvl w:val="1"/>
          <w:numId w:val="1"/>
        </w:numPr>
        <w:rPr>
          <w:rFonts w:ascii="Arial" w:hAnsi="Arial" w:cs="Arial"/>
          <w:i/>
          <w:iCs/>
        </w:rPr>
      </w:pPr>
      <w:r w:rsidRPr="00FE1CCD">
        <w:rPr>
          <w:rFonts w:ascii="Arial" w:hAnsi="Arial" w:cs="Arial"/>
          <w:b/>
          <w:bCs/>
          <w:i/>
          <w:iCs/>
        </w:rPr>
        <w:t>Connecticut Department of Public Safety v. Doe (2003)</w:t>
      </w:r>
      <w:r w:rsidRPr="00FE1CCD">
        <w:rPr>
          <w:rFonts w:ascii="Arial" w:hAnsi="Arial" w:cs="Arial"/>
          <w:i/>
          <w:iCs/>
        </w:rPr>
        <w:t xml:space="preserve"> and Smith v. Doe</w:t>
      </w:r>
      <w:r>
        <w:rPr>
          <w:rFonts w:ascii="Arial" w:hAnsi="Arial" w:cs="Arial"/>
          <w:i/>
          <w:iCs/>
        </w:rPr>
        <w:t xml:space="preserve"> (2003)</w:t>
      </w:r>
    </w:p>
    <w:p w14:paraId="63FE9C38" w14:textId="353ACE8A" w:rsidR="009F6874" w:rsidRDefault="009F6874" w:rsidP="009F6874">
      <w:pPr>
        <w:pStyle w:val="ListParagraph"/>
        <w:numPr>
          <w:ilvl w:val="2"/>
          <w:numId w:val="1"/>
        </w:numPr>
        <w:rPr>
          <w:rFonts w:ascii="Arial" w:hAnsi="Arial" w:cs="Arial"/>
        </w:rPr>
      </w:pPr>
      <w:r>
        <w:rPr>
          <w:rFonts w:ascii="Arial" w:hAnsi="Arial" w:cs="Arial"/>
        </w:rPr>
        <w:t>T</w:t>
      </w:r>
      <w:r w:rsidRPr="009F6874">
        <w:rPr>
          <w:rFonts w:ascii="Arial" w:hAnsi="Arial" w:cs="Arial"/>
        </w:rPr>
        <w:t xml:space="preserve">he Court considered a variation on </w:t>
      </w:r>
      <w:r w:rsidR="007B7DE0" w:rsidRPr="007B7DE0">
        <w:rPr>
          <w:rFonts w:ascii="Arial" w:hAnsi="Arial" w:cs="Arial"/>
        </w:rPr>
        <w:t>isolat</w:t>
      </w:r>
      <w:r w:rsidR="007B7DE0">
        <w:rPr>
          <w:rFonts w:ascii="Arial" w:hAnsi="Arial" w:cs="Arial"/>
        </w:rPr>
        <w:t>ing</w:t>
      </w:r>
      <w:r w:rsidR="007B7DE0" w:rsidRPr="007B7DE0">
        <w:rPr>
          <w:rFonts w:ascii="Arial" w:hAnsi="Arial" w:cs="Arial"/>
        </w:rPr>
        <w:t xml:space="preserve"> convicted criminals from society</w:t>
      </w:r>
      <w:r w:rsidRPr="009F6874">
        <w:rPr>
          <w:rFonts w:ascii="Arial" w:hAnsi="Arial" w:cs="Arial"/>
        </w:rPr>
        <w:t>: registration.</w:t>
      </w:r>
    </w:p>
    <w:p w14:paraId="7687DB5D" w14:textId="17F506A6" w:rsidR="009F6874" w:rsidRDefault="007B7DE0" w:rsidP="009F6874">
      <w:pPr>
        <w:pStyle w:val="ListParagraph"/>
        <w:numPr>
          <w:ilvl w:val="2"/>
          <w:numId w:val="1"/>
        </w:numPr>
        <w:rPr>
          <w:rFonts w:ascii="Arial" w:hAnsi="Arial" w:cs="Arial"/>
        </w:rPr>
      </w:pPr>
      <w:r w:rsidRPr="007B7DE0">
        <w:rPr>
          <w:rFonts w:ascii="Arial" w:hAnsi="Arial" w:cs="Arial"/>
        </w:rPr>
        <w:t>Although the legal challenges in these cases differed, the laws at issue—those requiring sex offenders to register their names and home addresses with local law enforcement authorities—are similar, and they bear the names of child victims.</w:t>
      </w:r>
    </w:p>
    <w:p w14:paraId="3E415B7D" w14:textId="175F1AD1" w:rsidR="007B7DE0" w:rsidRDefault="007B7DE0" w:rsidP="007B7DE0">
      <w:pPr>
        <w:pStyle w:val="ListParagraph"/>
        <w:numPr>
          <w:ilvl w:val="2"/>
          <w:numId w:val="1"/>
        </w:numPr>
        <w:rPr>
          <w:rFonts w:ascii="Arial" w:hAnsi="Arial" w:cs="Arial"/>
        </w:rPr>
      </w:pPr>
      <w:r w:rsidRPr="007B7DE0">
        <w:rPr>
          <w:rFonts w:ascii="Arial" w:hAnsi="Arial" w:cs="Arial"/>
        </w:rPr>
        <w:t xml:space="preserve">Writing for a 9–0 Court in </w:t>
      </w:r>
      <w:r w:rsidRPr="007B7DE0">
        <w:rPr>
          <w:rFonts w:ascii="Arial" w:hAnsi="Arial" w:cs="Arial"/>
          <w:i/>
          <w:iCs/>
        </w:rPr>
        <w:t>Connecticut Department of Public Safety v. Doe</w:t>
      </w:r>
      <w:r w:rsidRPr="007B7DE0">
        <w:rPr>
          <w:rFonts w:ascii="Arial" w:hAnsi="Arial" w:cs="Arial"/>
        </w:rPr>
        <w:t>, Chief Justice Rehnquist held that the government</w:t>
      </w:r>
      <w:r>
        <w:rPr>
          <w:rFonts w:ascii="Arial" w:hAnsi="Arial" w:cs="Arial"/>
        </w:rPr>
        <w:t xml:space="preserve"> “</w:t>
      </w:r>
      <w:r w:rsidRPr="007B7DE0">
        <w:rPr>
          <w:rFonts w:ascii="Arial" w:hAnsi="Arial" w:cs="Arial"/>
        </w:rPr>
        <w:t>has decided that the registry requirement shall be based on the fact of previous conviction, not the fact of current dangerousness.</w:t>
      </w:r>
      <w:r>
        <w:rPr>
          <w:rFonts w:ascii="Arial" w:hAnsi="Arial" w:cs="Arial"/>
        </w:rPr>
        <w:t>”</w:t>
      </w:r>
    </w:p>
    <w:sectPr w:rsidR="007B7DE0" w:rsidSect="006B36F1">
      <w:head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3F62F5" w14:textId="77777777" w:rsidR="0083337A" w:rsidRDefault="0083337A" w:rsidP="00AC6798">
      <w:pPr>
        <w:spacing w:after="0" w:line="240" w:lineRule="auto"/>
      </w:pPr>
      <w:r>
        <w:separator/>
      </w:r>
    </w:p>
  </w:endnote>
  <w:endnote w:type="continuationSeparator" w:id="0">
    <w:p w14:paraId="54FFA2E1" w14:textId="77777777" w:rsidR="0083337A" w:rsidRDefault="0083337A" w:rsidP="00AC6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E3ABB9" w14:textId="77777777" w:rsidR="0083337A" w:rsidRDefault="0083337A" w:rsidP="00AC6798">
      <w:pPr>
        <w:spacing w:after="0" w:line="240" w:lineRule="auto"/>
      </w:pPr>
      <w:r>
        <w:separator/>
      </w:r>
    </w:p>
  </w:footnote>
  <w:footnote w:type="continuationSeparator" w:id="0">
    <w:p w14:paraId="2E266704" w14:textId="77777777" w:rsidR="0083337A" w:rsidRDefault="0083337A" w:rsidP="00AC67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91ABD" w14:textId="5AF53726" w:rsidR="00705800" w:rsidRPr="00857730" w:rsidRDefault="0028082F" w:rsidP="00705800">
    <w:pPr>
      <w:pStyle w:val="Header"/>
      <w:jc w:val="right"/>
      <w:rPr>
        <w:rFonts w:ascii="Arial" w:hAnsi="Arial" w:cs="Arial"/>
        <w:i/>
      </w:rPr>
    </w:pPr>
    <w:r w:rsidRPr="00857730">
      <w:rPr>
        <w:rFonts w:ascii="Arial" w:hAnsi="Arial" w:cs="Arial"/>
        <w:sz w:val="20"/>
      </w:rPr>
      <w:t>Instructor Resource</w:t>
    </w:r>
    <w:r w:rsidR="00CE3ED0" w:rsidRPr="00857730">
      <w:rPr>
        <w:rFonts w:ascii="Arial" w:hAnsi="Arial" w:cs="Arial"/>
        <w:sz w:val="20"/>
      </w:rPr>
      <w:br/>
    </w:r>
    <w:r w:rsidR="00857730" w:rsidRPr="00857730">
      <w:rPr>
        <w:rFonts w:ascii="Arial" w:hAnsi="Arial" w:cs="Arial"/>
      </w:rPr>
      <w:t>Epstein</w:t>
    </w:r>
    <w:r w:rsidR="00705800" w:rsidRPr="00857730">
      <w:rPr>
        <w:rFonts w:ascii="Arial" w:hAnsi="Arial" w:cs="Arial"/>
      </w:rPr>
      <w:t xml:space="preserve">, </w:t>
    </w:r>
    <w:r w:rsidR="00857730" w:rsidRPr="00857730">
      <w:rPr>
        <w:rFonts w:ascii="Arial" w:hAnsi="Arial" w:cs="Arial"/>
        <w:i/>
      </w:rPr>
      <w:t>Constitutional Law for a Changing America</w:t>
    </w:r>
    <w:r w:rsidR="00705800" w:rsidRPr="00857730">
      <w:rPr>
        <w:rFonts w:ascii="Arial" w:hAnsi="Arial" w:cs="Arial"/>
        <w:i/>
      </w:rPr>
      <w:t xml:space="preserve">, </w:t>
    </w:r>
    <w:r w:rsidR="00857730" w:rsidRPr="00857730">
      <w:rPr>
        <w:rFonts w:ascii="Arial" w:hAnsi="Arial" w:cs="Arial"/>
        <w:i/>
      </w:rPr>
      <w:t>12e</w:t>
    </w:r>
  </w:p>
  <w:p w14:paraId="5CBC2C81" w14:textId="2EACF95B" w:rsidR="0028082F" w:rsidRPr="00857730" w:rsidRDefault="00705800" w:rsidP="00705800">
    <w:pPr>
      <w:pStyle w:val="Header"/>
      <w:jc w:val="right"/>
      <w:rPr>
        <w:rFonts w:ascii="Arial" w:hAnsi="Arial" w:cs="Arial"/>
        <w:sz w:val="20"/>
      </w:rPr>
    </w:pPr>
    <w:r w:rsidRPr="00857730">
      <w:rPr>
        <w:rFonts w:ascii="Arial" w:hAnsi="Arial" w:cs="Arial"/>
      </w:rPr>
      <w:t>SAGE Publishing, 202</w:t>
    </w:r>
    <w:r w:rsidR="00857730" w:rsidRPr="00857730">
      <w:rPr>
        <w:rFonts w:ascii="Arial" w:hAnsi="Arial"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2F85F" w14:textId="77777777" w:rsidR="00AC6798" w:rsidRPr="00AC6798" w:rsidRDefault="00AC6798" w:rsidP="00AC6798">
    <w:pPr>
      <w:spacing w:after="0" w:line="240" w:lineRule="auto"/>
      <w:rPr>
        <w:b/>
      </w:rPr>
    </w:pPr>
    <w:r w:rsidRPr="00AC6798">
      <w:t>Author Names</w:t>
    </w:r>
    <w:r>
      <w:rPr>
        <w:i/>
      </w:rPr>
      <w:t xml:space="preserve">, </w:t>
    </w:r>
    <w:r w:rsidRPr="00AC6798">
      <w:rPr>
        <w:i/>
      </w:rPr>
      <w:t xml:space="preserve">Book Title, </w:t>
    </w:r>
    <w:r w:rsidRPr="00AC6798">
      <w:t>Edition Number:</w:t>
    </w:r>
    <w:r>
      <w:rPr>
        <w:b/>
      </w:rPr>
      <w:t xml:space="preserve"> </w:t>
    </w:r>
    <w:r w:rsidRPr="00AC6798">
      <w:t>Instructor Resource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F2F7C"/>
    <w:multiLevelType w:val="multilevel"/>
    <w:tmpl w:val="027A6288"/>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rPr>
    </w:lvl>
    <w:lvl w:ilvl="2">
      <w:start w:val="1"/>
      <w:numFmt w:val="lowerRoman"/>
      <w:lvlText w:val="%3."/>
      <w:lvlJc w:val="right"/>
      <w:pPr>
        <w:ind w:left="2070" w:hanging="180"/>
      </w:pPr>
      <w:rPr>
        <w:rFonts w:hint="default"/>
        <w:b/>
      </w:rPr>
    </w:lvl>
    <w:lvl w:ilvl="3">
      <w:start w:val="1"/>
      <w:numFmt w:val="lowerLetter"/>
      <w:lvlText w:val="%4."/>
      <w:lvlJc w:val="left"/>
      <w:pPr>
        <w:ind w:left="2880" w:hanging="360"/>
      </w:pPr>
      <w:rPr>
        <w:rFonts w:hint="default"/>
        <w:b/>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D144C12"/>
    <w:multiLevelType w:val="hybridMultilevel"/>
    <w:tmpl w:val="121616BA"/>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2" w15:restartNumberingAfterBreak="0">
    <w:nsid w:val="1E013C6B"/>
    <w:multiLevelType w:val="multilevel"/>
    <w:tmpl w:val="027A6288"/>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rPr>
    </w:lvl>
    <w:lvl w:ilvl="2">
      <w:start w:val="1"/>
      <w:numFmt w:val="lowerRoman"/>
      <w:lvlText w:val="%3."/>
      <w:lvlJc w:val="right"/>
      <w:pPr>
        <w:ind w:left="2070" w:hanging="180"/>
      </w:pPr>
      <w:rPr>
        <w:rFonts w:hint="default"/>
        <w:b/>
      </w:rPr>
    </w:lvl>
    <w:lvl w:ilvl="3">
      <w:start w:val="1"/>
      <w:numFmt w:val="lowerLetter"/>
      <w:lvlText w:val="%4."/>
      <w:lvlJc w:val="left"/>
      <w:pPr>
        <w:ind w:left="2880" w:hanging="360"/>
      </w:pPr>
      <w:rPr>
        <w:rFonts w:hint="default"/>
        <w:b/>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062098B"/>
    <w:multiLevelType w:val="multilevel"/>
    <w:tmpl w:val="58066654"/>
    <w:styleLink w:val="CurrentList4"/>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244A632A"/>
    <w:multiLevelType w:val="multilevel"/>
    <w:tmpl w:val="39BC37F0"/>
    <w:styleLink w:val="CurrentList3"/>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31ED7F79"/>
    <w:multiLevelType w:val="multilevel"/>
    <w:tmpl w:val="28000CB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33B158D8"/>
    <w:multiLevelType w:val="multilevel"/>
    <w:tmpl w:val="D9204560"/>
    <w:styleLink w:val="CurrentList2"/>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39AB1F77"/>
    <w:multiLevelType w:val="hybridMultilevel"/>
    <w:tmpl w:val="A7D2A79A"/>
    <w:lvl w:ilvl="0" w:tplc="4009000F">
      <w:start w:val="1"/>
      <w:numFmt w:val="decimal"/>
      <w:lvlText w:val="%1."/>
      <w:lvlJc w:val="left"/>
      <w:pPr>
        <w:ind w:left="1920" w:hanging="360"/>
      </w:pPr>
      <w:rPr>
        <w:b w:val="0"/>
      </w:rPr>
    </w:lvl>
    <w:lvl w:ilvl="1" w:tplc="04090019">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8" w15:restartNumberingAfterBreak="0">
    <w:nsid w:val="3A760514"/>
    <w:multiLevelType w:val="hybridMultilevel"/>
    <w:tmpl w:val="C48019A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5F1F60"/>
    <w:multiLevelType w:val="multilevel"/>
    <w:tmpl w:val="D1A4097E"/>
    <w:styleLink w:val="CurrentList6"/>
    <w:lvl w:ilvl="0">
      <w:start w:val="1"/>
      <w:numFmt w:val="decimal"/>
      <w:lvlText w:val="8.%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444B2AD0"/>
    <w:multiLevelType w:val="multilevel"/>
    <w:tmpl w:val="CB5C3228"/>
    <w:styleLink w:val="CurrentList7"/>
    <w:lvl w:ilvl="0">
      <w:start w:val="1"/>
      <w:numFmt w:val="decimal"/>
      <w:lvlText w:val="9.%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448441D1"/>
    <w:multiLevelType w:val="hybridMultilevel"/>
    <w:tmpl w:val="7F60152C"/>
    <w:lvl w:ilvl="0" w:tplc="40090019">
      <w:start w:val="1"/>
      <w:numFmt w:val="lowerLetter"/>
      <w:lvlText w:val="%1."/>
      <w:lvlJc w:val="left"/>
      <w:pPr>
        <w:ind w:left="2628" w:hanging="360"/>
      </w:pPr>
      <w:rPr>
        <w:b w:val="0"/>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12" w15:restartNumberingAfterBreak="0">
    <w:nsid w:val="4AD45D27"/>
    <w:multiLevelType w:val="hybridMultilevel"/>
    <w:tmpl w:val="C4545AA8"/>
    <w:lvl w:ilvl="0" w:tplc="32880DEC">
      <w:start w:val="1"/>
      <w:numFmt w:val="decimal"/>
      <w:lvlText w:val="12.%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DBE49AC"/>
    <w:multiLevelType w:val="multilevel"/>
    <w:tmpl w:val="F1E470A8"/>
    <w:styleLink w:val="CurrentList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57B032DD"/>
    <w:multiLevelType w:val="hybridMultilevel"/>
    <w:tmpl w:val="03701AAA"/>
    <w:lvl w:ilvl="0" w:tplc="4009000F">
      <w:start w:val="1"/>
      <w:numFmt w:val="decimal"/>
      <w:lvlText w:val="%1."/>
      <w:lvlJc w:val="left"/>
      <w:pPr>
        <w:ind w:left="1920" w:hanging="360"/>
      </w:pPr>
      <w:rPr>
        <w:b w:val="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5" w15:restartNumberingAfterBreak="0">
    <w:nsid w:val="5D930CAB"/>
    <w:multiLevelType w:val="hybridMultilevel"/>
    <w:tmpl w:val="593A89A6"/>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6" w15:restartNumberingAfterBreak="0">
    <w:nsid w:val="6BE16559"/>
    <w:multiLevelType w:val="multilevel"/>
    <w:tmpl w:val="FA147BD4"/>
    <w:styleLink w:val="CurrentList5"/>
    <w:lvl w:ilvl="0">
      <w:start w:val="1"/>
      <w:numFmt w:val="decimal"/>
      <w:lvlText w:val="1.%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6D657FCB"/>
    <w:multiLevelType w:val="hybridMultilevel"/>
    <w:tmpl w:val="C04A7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CD13A1"/>
    <w:multiLevelType w:val="hybridMultilevel"/>
    <w:tmpl w:val="B8D8EF26"/>
    <w:lvl w:ilvl="0" w:tplc="22F462D4">
      <w:start w:val="1"/>
      <w:numFmt w:val="upperLetter"/>
      <w:lvlText w:val="%1."/>
      <w:lvlJc w:val="left"/>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5"/>
  </w:num>
  <w:num w:numId="3">
    <w:abstractNumId w:val="2"/>
  </w:num>
  <w:num w:numId="4">
    <w:abstractNumId w:val="17"/>
  </w:num>
  <w:num w:numId="5">
    <w:abstractNumId w:val="7"/>
  </w:num>
  <w:num w:numId="6">
    <w:abstractNumId w:val="18"/>
  </w:num>
  <w:num w:numId="7">
    <w:abstractNumId w:val="1"/>
  </w:num>
  <w:num w:numId="8">
    <w:abstractNumId w:val="15"/>
  </w:num>
  <w:num w:numId="9">
    <w:abstractNumId w:val="14"/>
  </w:num>
  <w:num w:numId="10">
    <w:abstractNumId w:val="11"/>
  </w:num>
  <w:num w:numId="11">
    <w:abstractNumId w:val="8"/>
  </w:num>
  <w:num w:numId="12">
    <w:abstractNumId w:val="12"/>
  </w:num>
  <w:num w:numId="13">
    <w:abstractNumId w:val="13"/>
  </w:num>
  <w:num w:numId="14">
    <w:abstractNumId w:val="6"/>
  </w:num>
  <w:num w:numId="15">
    <w:abstractNumId w:val="4"/>
  </w:num>
  <w:num w:numId="16">
    <w:abstractNumId w:val="3"/>
  </w:num>
  <w:num w:numId="17">
    <w:abstractNumId w:val="16"/>
  </w:num>
  <w:num w:numId="18">
    <w:abstractNumId w:val="9"/>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798"/>
    <w:rsid w:val="00030600"/>
    <w:rsid w:val="0004485B"/>
    <w:rsid w:val="000571FC"/>
    <w:rsid w:val="00067BD7"/>
    <w:rsid w:val="00087E92"/>
    <w:rsid w:val="000B51AC"/>
    <w:rsid w:val="000C1B4E"/>
    <w:rsid w:val="000C73BA"/>
    <w:rsid w:val="00104875"/>
    <w:rsid w:val="00106DF9"/>
    <w:rsid w:val="0013263E"/>
    <w:rsid w:val="00144711"/>
    <w:rsid w:val="00146F66"/>
    <w:rsid w:val="001C2BF5"/>
    <w:rsid w:val="0028082F"/>
    <w:rsid w:val="002842B8"/>
    <w:rsid w:val="00290606"/>
    <w:rsid w:val="00296630"/>
    <w:rsid w:val="00302BA1"/>
    <w:rsid w:val="00345530"/>
    <w:rsid w:val="003E4F8E"/>
    <w:rsid w:val="00415B0E"/>
    <w:rsid w:val="0049088F"/>
    <w:rsid w:val="0049735A"/>
    <w:rsid w:val="004C441E"/>
    <w:rsid w:val="004D2767"/>
    <w:rsid w:val="004F4E50"/>
    <w:rsid w:val="00501118"/>
    <w:rsid w:val="00590188"/>
    <w:rsid w:val="005C52FF"/>
    <w:rsid w:val="00601E26"/>
    <w:rsid w:val="0061658A"/>
    <w:rsid w:val="00647166"/>
    <w:rsid w:val="006B36F1"/>
    <w:rsid w:val="00705800"/>
    <w:rsid w:val="007176BF"/>
    <w:rsid w:val="007816D1"/>
    <w:rsid w:val="00786291"/>
    <w:rsid w:val="00797EB8"/>
    <w:rsid w:val="007B262F"/>
    <w:rsid w:val="007B7DE0"/>
    <w:rsid w:val="007D1BD4"/>
    <w:rsid w:val="0080487A"/>
    <w:rsid w:val="00814DAF"/>
    <w:rsid w:val="0083337A"/>
    <w:rsid w:val="00857730"/>
    <w:rsid w:val="00861359"/>
    <w:rsid w:val="00890CC7"/>
    <w:rsid w:val="008D4F2B"/>
    <w:rsid w:val="0091256A"/>
    <w:rsid w:val="00947B7A"/>
    <w:rsid w:val="00972B91"/>
    <w:rsid w:val="00985161"/>
    <w:rsid w:val="009F6874"/>
    <w:rsid w:val="00A0045D"/>
    <w:rsid w:val="00A00903"/>
    <w:rsid w:val="00A12BED"/>
    <w:rsid w:val="00A52B39"/>
    <w:rsid w:val="00A53060"/>
    <w:rsid w:val="00A71DBE"/>
    <w:rsid w:val="00AB1B91"/>
    <w:rsid w:val="00AC6798"/>
    <w:rsid w:val="00AD14CA"/>
    <w:rsid w:val="00AF3200"/>
    <w:rsid w:val="00B25DB6"/>
    <w:rsid w:val="00C22A1D"/>
    <w:rsid w:val="00C4089C"/>
    <w:rsid w:val="00C8534A"/>
    <w:rsid w:val="00CA0344"/>
    <w:rsid w:val="00CE3ED0"/>
    <w:rsid w:val="00D00705"/>
    <w:rsid w:val="00D24B9F"/>
    <w:rsid w:val="00D3319A"/>
    <w:rsid w:val="00D51681"/>
    <w:rsid w:val="00D80DCA"/>
    <w:rsid w:val="00DA4742"/>
    <w:rsid w:val="00DB6ECD"/>
    <w:rsid w:val="00DD0D71"/>
    <w:rsid w:val="00DD2CD9"/>
    <w:rsid w:val="00DE4AD0"/>
    <w:rsid w:val="00E0583E"/>
    <w:rsid w:val="00E27C4D"/>
    <w:rsid w:val="00E422A3"/>
    <w:rsid w:val="00E630F2"/>
    <w:rsid w:val="00E91086"/>
    <w:rsid w:val="00E93FEB"/>
    <w:rsid w:val="00EC285B"/>
    <w:rsid w:val="00ED7CB7"/>
    <w:rsid w:val="00EE7FB4"/>
    <w:rsid w:val="00F00963"/>
    <w:rsid w:val="00F01658"/>
    <w:rsid w:val="00F647EA"/>
    <w:rsid w:val="00FB2A8D"/>
    <w:rsid w:val="00FC7457"/>
    <w:rsid w:val="00FE1CCD"/>
    <w:rsid w:val="00FE4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57EC1"/>
  <w15:docId w15:val="{E4DFE4D8-2567-4331-BAE7-41F8DFB69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798"/>
    <w:pPr>
      <w:spacing w:after="200" w:line="276" w:lineRule="auto"/>
    </w:pPr>
    <w:rPr>
      <w:rFonts w:asciiTheme="minorHAnsi" w:eastAsiaTheme="minorEastAsia" w:hAnsiTheme="minorHAnsi" w:cstheme="minorBidi"/>
      <w:sz w:val="22"/>
      <w:szCs w:val="22"/>
    </w:rPr>
  </w:style>
  <w:style w:type="paragraph" w:styleId="Heading1">
    <w:name w:val="heading 1"/>
    <w:basedOn w:val="Normal"/>
    <w:next w:val="Normal"/>
    <w:link w:val="Heading1Char"/>
    <w:uiPriority w:val="9"/>
    <w:qFormat/>
    <w:rsid w:val="00DE4AD0"/>
    <w:pPr>
      <w:keepNext/>
      <w:keepLines/>
      <w:spacing w:before="480" w:after="0"/>
      <w:outlineLvl w:val="0"/>
    </w:pPr>
    <w:rPr>
      <w:rFonts w:ascii="Arial" w:eastAsiaTheme="majorEastAsia" w:hAnsi="Arial" w:cstheme="majorBidi"/>
      <w:b/>
      <w:bCs/>
      <w:sz w:val="28"/>
      <w:szCs w:val="28"/>
    </w:rPr>
  </w:style>
  <w:style w:type="paragraph" w:styleId="Heading2">
    <w:name w:val="heading 2"/>
    <w:basedOn w:val="Normal"/>
    <w:next w:val="Normal"/>
    <w:link w:val="Heading2Char"/>
    <w:uiPriority w:val="9"/>
    <w:unhideWhenUsed/>
    <w:qFormat/>
    <w:rsid w:val="00601E26"/>
    <w:pPr>
      <w:keepNext/>
      <w:keepLines/>
      <w:spacing w:before="200" w:after="0"/>
      <w:outlineLvl w:val="1"/>
    </w:pPr>
    <w:rPr>
      <w:rFonts w:ascii="Arial" w:eastAsiaTheme="majorEastAsia" w:hAnsi="Arial" w:cstheme="majorBidi"/>
      <w:bCs/>
      <w:sz w:val="26"/>
      <w:szCs w:val="26"/>
    </w:rPr>
  </w:style>
  <w:style w:type="paragraph" w:styleId="Heading3">
    <w:name w:val="heading 3"/>
    <w:basedOn w:val="Normal"/>
    <w:next w:val="Normal"/>
    <w:link w:val="Heading3Char"/>
    <w:uiPriority w:val="9"/>
    <w:semiHidden/>
    <w:unhideWhenUsed/>
    <w:qFormat/>
    <w:rsid w:val="00601E26"/>
    <w:pPr>
      <w:keepNext/>
      <w:keepLines/>
      <w:spacing w:before="40" w:after="0"/>
      <w:outlineLvl w:val="2"/>
    </w:pPr>
    <w:rPr>
      <w:rFonts w:ascii="Calibri" w:eastAsiaTheme="majorEastAsia" w:hAnsi="Calibri"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6798"/>
    <w:pPr>
      <w:ind w:left="720"/>
      <w:contextualSpacing/>
    </w:pPr>
  </w:style>
  <w:style w:type="paragraph" w:styleId="Header">
    <w:name w:val="header"/>
    <w:basedOn w:val="Normal"/>
    <w:link w:val="HeaderChar"/>
    <w:unhideWhenUsed/>
    <w:rsid w:val="00AC6798"/>
    <w:pPr>
      <w:tabs>
        <w:tab w:val="center" w:pos="4680"/>
        <w:tab w:val="right" w:pos="9360"/>
      </w:tabs>
      <w:spacing w:after="0" w:line="240" w:lineRule="auto"/>
    </w:pPr>
  </w:style>
  <w:style w:type="character" w:customStyle="1" w:styleId="HeaderChar">
    <w:name w:val="Header Char"/>
    <w:basedOn w:val="DefaultParagraphFont"/>
    <w:link w:val="Header"/>
    <w:rsid w:val="00AC6798"/>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AC6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798"/>
    <w:rPr>
      <w:rFonts w:asciiTheme="minorHAnsi" w:eastAsiaTheme="minorEastAsia" w:hAnsiTheme="minorHAnsi" w:cstheme="minorBidi"/>
      <w:sz w:val="22"/>
      <w:szCs w:val="22"/>
    </w:rPr>
  </w:style>
  <w:style w:type="character" w:customStyle="1" w:styleId="Heading1Char">
    <w:name w:val="Heading 1 Char"/>
    <w:basedOn w:val="DefaultParagraphFont"/>
    <w:link w:val="Heading1"/>
    <w:uiPriority w:val="9"/>
    <w:rsid w:val="00DE4AD0"/>
    <w:rPr>
      <w:rFonts w:ascii="Arial" w:eastAsiaTheme="majorEastAsia" w:hAnsi="Arial" w:cstheme="majorBidi"/>
      <w:b/>
      <w:bCs/>
      <w:sz w:val="28"/>
      <w:szCs w:val="28"/>
    </w:rPr>
  </w:style>
  <w:style w:type="paragraph" w:styleId="Title">
    <w:name w:val="Title"/>
    <w:basedOn w:val="Normal"/>
    <w:next w:val="Normal"/>
    <w:link w:val="TitleChar"/>
    <w:autoRedefine/>
    <w:uiPriority w:val="10"/>
    <w:qFormat/>
    <w:rsid w:val="00857730"/>
    <w:pPr>
      <w:pBdr>
        <w:bottom w:val="single" w:sz="8" w:space="4" w:color="4F81BD" w:themeColor="accent1"/>
      </w:pBdr>
      <w:spacing w:after="300" w:line="240" w:lineRule="auto"/>
      <w:contextualSpacing/>
    </w:pPr>
    <w:rPr>
      <w:rFonts w:ascii="Arial" w:eastAsiaTheme="majorEastAsia" w:hAnsi="Arial" w:cstheme="majorBidi"/>
      <w:color w:val="000000" w:themeColor="text1"/>
      <w:spacing w:val="5"/>
      <w:kern w:val="28"/>
      <w:sz w:val="52"/>
      <w:szCs w:val="52"/>
    </w:rPr>
  </w:style>
  <w:style w:type="character" w:customStyle="1" w:styleId="TitleChar">
    <w:name w:val="Title Char"/>
    <w:basedOn w:val="DefaultParagraphFont"/>
    <w:link w:val="Title"/>
    <w:uiPriority w:val="10"/>
    <w:rsid w:val="00857730"/>
    <w:rPr>
      <w:rFonts w:ascii="Arial" w:eastAsiaTheme="majorEastAsia" w:hAnsi="Arial" w:cstheme="majorBidi"/>
      <w:color w:val="000000" w:themeColor="text1"/>
      <w:spacing w:val="5"/>
      <w:kern w:val="28"/>
      <w:sz w:val="52"/>
      <w:szCs w:val="52"/>
    </w:rPr>
  </w:style>
  <w:style w:type="character" w:customStyle="1" w:styleId="Heading2Char">
    <w:name w:val="Heading 2 Char"/>
    <w:basedOn w:val="DefaultParagraphFont"/>
    <w:link w:val="Heading2"/>
    <w:uiPriority w:val="9"/>
    <w:rsid w:val="00601E26"/>
    <w:rPr>
      <w:rFonts w:ascii="Arial" w:eastAsiaTheme="majorEastAsia" w:hAnsi="Arial" w:cstheme="majorBidi"/>
      <w:bCs/>
      <w:sz w:val="26"/>
      <w:szCs w:val="26"/>
    </w:rPr>
  </w:style>
  <w:style w:type="character" w:customStyle="1" w:styleId="Heading3Char">
    <w:name w:val="Heading 3 Char"/>
    <w:basedOn w:val="DefaultParagraphFont"/>
    <w:link w:val="Heading3"/>
    <w:uiPriority w:val="9"/>
    <w:semiHidden/>
    <w:rsid w:val="00601E26"/>
    <w:rPr>
      <w:rFonts w:ascii="Calibri" w:eastAsiaTheme="majorEastAsia" w:hAnsi="Calibri" w:cstheme="majorBidi"/>
      <w:b/>
      <w:szCs w:val="24"/>
    </w:rPr>
  </w:style>
  <w:style w:type="character" w:customStyle="1" w:styleId="Style1">
    <w:name w:val="Style1"/>
    <w:rsid w:val="00705800"/>
    <w:rPr>
      <w:color w:val="FF0000"/>
    </w:rPr>
  </w:style>
  <w:style w:type="table" w:styleId="TableGrid">
    <w:name w:val="Table Grid"/>
    <w:basedOn w:val="TableNormal"/>
    <w:uiPriority w:val="59"/>
    <w:rsid w:val="00861359"/>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22A1D"/>
    <w:rPr>
      <w:color w:val="0000FF" w:themeColor="hyperlink"/>
      <w:u w:val="single"/>
    </w:rPr>
  </w:style>
  <w:style w:type="character" w:customStyle="1" w:styleId="UnresolvedMention1">
    <w:name w:val="Unresolved Mention1"/>
    <w:basedOn w:val="DefaultParagraphFont"/>
    <w:uiPriority w:val="99"/>
    <w:semiHidden/>
    <w:unhideWhenUsed/>
    <w:rsid w:val="00C22A1D"/>
    <w:rPr>
      <w:color w:val="605E5C"/>
      <w:shd w:val="clear" w:color="auto" w:fill="E1DFDD"/>
    </w:rPr>
  </w:style>
  <w:style w:type="numbering" w:customStyle="1" w:styleId="CurrentList1">
    <w:name w:val="Current List1"/>
    <w:uiPriority w:val="99"/>
    <w:rsid w:val="00857730"/>
    <w:pPr>
      <w:numPr>
        <w:numId w:val="13"/>
      </w:numPr>
    </w:pPr>
  </w:style>
  <w:style w:type="numbering" w:customStyle="1" w:styleId="CurrentList2">
    <w:name w:val="Current List2"/>
    <w:uiPriority w:val="99"/>
    <w:rsid w:val="00857730"/>
    <w:pPr>
      <w:numPr>
        <w:numId w:val="14"/>
      </w:numPr>
    </w:pPr>
  </w:style>
  <w:style w:type="numbering" w:customStyle="1" w:styleId="CurrentList3">
    <w:name w:val="Current List3"/>
    <w:uiPriority w:val="99"/>
    <w:rsid w:val="00857730"/>
    <w:pPr>
      <w:numPr>
        <w:numId w:val="15"/>
      </w:numPr>
    </w:pPr>
  </w:style>
  <w:style w:type="character" w:styleId="CommentReference">
    <w:name w:val="annotation reference"/>
    <w:basedOn w:val="DefaultParagraphFont"/>
    <w:uiPriority w:val="99"/>
    <w:semiHidden/>
    <w:unhideWhenUsed/>
    <w:rsid w:val="00415B0E"/>
    <w:rPr>
      <w:sz w:val="16"/>
      <w:szCs w:val="16"/>
    </w:rPr>
  </w:style>
  <w:style w:type="paragraph" w:styleId="CommentText">
    <w:name w:val="annotation text"/>
    <w:basedOn w:val="Normal"/>
    <w:link w:val="CommentTextChar"/>
    <w:uiPriority w:val="99"/>
    <w:semiHidden/>
    <w:unhideWhenUsed/>
    <w:rsid w:val="00415B0E"/>
    <w:pPr>
      <w:spacing w:line="240" w:lineRule="auto"/>
    </w:pPr>
    <w:rPr>
      <w:sz w:val="20"/>
      <w:szCs w:val="20"/>
    </w:rPr>
  </w:style>
  <w:style w:type="character" w:customStyle="1" w:styleId="CommentTextChar">
    <w:name w:val="Comment Text Char"/>
    <w:basedOn w:val="DefaultParagraphFont"/>
    <w:link w:val="CommentText"/>
    <w:uiPriority w:val="99"/>
    <w:semiHidden/>
    <w:rsid w:val="00415B0E"/>
    <w:rPr>
      <w:rFonts w:asciiTheme="minorHAnsi" w:eastAsiaTheme="minorEastAsia" w:hAnsiTheme="minorHAnsi" w:cstheme="minorBidi"/>
      <w:sz w:val="20"/>
    </w:rPr>
  </w:style>
  <w:style w:type="paragraph" w:styleId="CommentSubject">
    <w:name w:val="annotation subject"/>
    <w:basedOn w:val="CommentText"/>
    <w:next w:val="CommentText"/>
    <w:link w:val="CommentSubjectChar"/>
    <w:uiPriority w:val="99"/>
    <w:semiHidden/>
    <w:unhideWhenUsed/>
    <w:rsid w:val="00415B0E"/>
    <w:rPr>
      <w:b/>
      <w:bCs/>
    </w:rPr>
  </w:style>
  <w:style w:type="character" w:customStyle="1" w:styleId="CommentSubjectChar">
    <w:name w:val="Comment Subject Char"/>
    <w:basedOn w:val="CommentTextChar"/>
    <w:link w:val="CommentSubject"/>
    <w:uiPriority w:val="99"/>
    <w:semiHidden/>
    <w:rsid w:val="00415B0E"/>
    <w:rPr>
      <w:rFonts w:asciiTheme="minorHAnsi" w:eastAsiaTheme="minorEastAsia" w:hAnsiTheme="minorHAnsi" w:cstheme="minorBidi"/>
      <w:b/>
      <w:bCs/>
      <w:sz w:val="20"/>
    </w:rPr>
  </w:style>
  <w:style w:type="numbering" w:customStyle="1" w:styleId="CurrentList4">
    <w:name w:val="Current List4"/>
    <w:uiPriority w:val="99"/>
    <w:rsid w:val="0091256A"/>
    <w:pPr>
      <w:numPr>
        <w:numId w:val="16"/>
      </w:numPr>
    </w:pPr>
  </w:style>
  <w:style w:type="numbering" w:customStyle="1" w:styleId="CurrentList5">
    <w:name w:val="Current List5"/>
    <w:uiPriority w:val="99"/>
    <w:rsid w:val="00104875"/>
    <w:pPr>
      <w:numPr>
        <w:numId w:val="17"/>
      </w:numPr>
    </w:pPr>
  </w:style>
  <w:style w:type="numbering" w:customStyle="1" w:styleId="CurrentList6">
    <w:name w:val="Current List6"/>
    <w:uiPriority w:val="99"/>
    <w:rsid w:val="00296630"/>
    <w:pPr>
      <w:numPr>
        <w:numId w:val="18"/>
      </w:numPr>
    </w:pPr>
  </w:style>
  <w:style w:type="numbering" w:customStyle="1" w:styleId="CurrentList7">
    <w:name w:val="Current List7"/>
    <w:uiPriority w:val="99"/>
    <w:rsid w:val="000C1B4E"/>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AE41945E5BBD4CB80E28A47E208707" ma:contentTypeVersion="18" ma:contentTypeDescription="Create a new document." ma:contentTypeScope="" ma:versionID="ff4f873734712185289ea95ac4696c8e">
  <xsd:schema xmlns:xsd="http://www.w3.org/2001/XMLSchema" xmlns:xs="http://www.w3.org/2001/XMLSchema" xmlns:p="http://schemas.microsoft.com/office/2006/metadata/properties" xmlns:ns3="492391da-a53c-4951-8fae-a630032c0268" xmlns:ns4="bdfdb397-52c9-4b2b-ad93-4e7f8e1b6583" targetNamespace="http://schemas.microsoft.com/office/2006/metadata/properties" ma:root="true" ma:fieldsID="2fe7a041e48a4aa2036dec9bdd9b185f" ns3:_="" ns4:_="">
    <xsd:import namespace="492391da-a53c-4951-8fae-a630032c0268"/>
    <xsd:import namespace="bdfdb397-52c9-4b2b-ad93-4e7f8e1b658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2391da-a53c-4951-8fae-a630032c02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fdb397-52c9-4b2b-ad93-4e7f8e1b658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dfdb397-52c9-4b2b-ad93-4e7f8e1b6583" xsi:nil="true"/>
  </documentManagement>
</p:properties>
</file>

<file path=customXml/itemProps1.xml><?xml version="1.0" encoding="utf-8"?>
<ds:datastoreItem xmlns:ds="http://schemas.openxmlformats.org/officeDocument/2006/customXml" ds:itemID="{12A89398-2AD7-432D-B8A6-2E26DFC1CC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2391da-a53c-4951-8fae-a630032c0268"/>
    <ds:schemaRef ds:uri="bdfdb397-52c9-4b2b-ad93-4e7f8e1b65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C15DC9-BCF7-4D6A-AE12-00859B1134B8}">
  <ds:schemaRefs>
    <ds:schemaRef ds:uri="http://schemas.microsoft.com/sharepoint/v3/contenttype/forms"/>
  </ds:schemaRefs>
</ds:datastoreItem>
</file>

<file path=customXml/itemProps3.xml><?xml version="1.0" encoding="utf-8"?>
<ds:datastoreItem xmlns:ds="http://schemas.openxmlformats.org/officeDocument/2006/customXml" ds:itemID="{578C634F-EE49-48FC-A655-A0AA454EB4A2}">
  <ds:schemaRefs>
    <ds:schemaRef ds:uri="http://schemas.microsoft.com/office/2006/documentManagement/types"/>
    <ds:schemaRef ds:uri="http://purl.org/dc/terms/"/>
    <ds:schemaRef ds:uri="http://purl.org/dc/dcmitype/"/>
    <ds:schemaRef ds:uri="http://schemas.openxmlformats.org/package/2006/metadata/core-properties"/>
    <ds:schemaRef ds:uri="http://schemas.microsoft.com/office/infopath/2007/PartnerControls"/>
    <ds:schemaRef ds:uri="bdfdb397-52c9-4b2b-ad93-4e7f8e1b6583"/>
    <ds:schemaRef ds:uri="http://www.w3.org/XML/1998/namespace"/>
    <ds:schemaRef ds:uri="http://schemas.microsoft.com/office/2006/metadata/properties"/>
    <ds:schemaRef ds:uri="492391da-a53c-4951-8fae-a630032c0268"/>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3308</Words>
  <Characters>18856</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Epstein 12e Chapter 12 Lecture Notes</vt:lpstr>
    </vt:vector>
  </TitlesOfParts>
  <Manager/>
  <Company>Sage Publications</Company>
  <LinksUpToDate>false</LinksUpToDate>
  <CharactersWithSpaces>22120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Epstein 12e Chapter 12 Lecture Notes</dc:title>
  <dc:subject/>
  <dc:creator>Bierach, Katie</dc:creator>
  <cp:keywords/>
  <dc:description/>
  <cp:lastModifiedBy>GWPS</cp:lastModifiedBy>
  <cp:revision>2</cp:revision>
  <dcterms:created xsi:type="dcterms:W3CDTF">2024-10-01T14:04:00Z</dcterms:created>
  <dcterms:modified xsi:type="dcterms:W3CDTF">2024-10-01T14:04:00Z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0x010100FBAE41945E5BBD4CB80E28A47E208707</vt:lpwstr>
  </property>
</Properties>
</file>