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02490" w14:textId="77777777" w:rsidR="00AC6798" w:rsidRPr="00857730" w:rsidRDefault="00AC6798" w:rsidP="00857730">
      <w:pPr>
        <w:pStyle w:val="Title"/>
        <w:rPr>
          <w:rFonts w:cs="Arial"/>
        </w:rPr>
      </w:pPr>
      <w:bookmarkStart w:id="0" w:name="_GoBack"/>
      <w:bookmarkEnd w:id="0"/>
      <w:r w:rsidRPr="00857730">
        <w:rPr>
          <w:rFonts w:cs="Arial"/>
        </w:rPr>
        <w:t>Lecture Notes</w:t>
      </w:r>
    </w:p>
    <w:p w14:paraId="41876262" w14:textId="29352FC1" w:rsidR="00CE3ED0" w:rsidRPr="00857730" w:rsidRDefault="00705800" w:rsidP="00AC6798">
      <w:pPr>
        <w:pStyle w:val="Heading1"/>
        <w:rPr>
          <w:rFonts w:cs="Arial"/>
        </w:rPr>
      </w:pPr>
      <w:r w:rsidRPr="00857730">
        <w:rPr>
          <w:rFonts w:cs="Arial"/>
        </w:rPr>
        <w:t xml:space="preserve">Chapter </w:t>
      </w:r>
      <w:r w:rsidR="00F8515B">
        <w:rPr>
          <w:rFonts w:cs="Arial"/>
        </w:rPr>
        <w:t>14</w:t>
      </w:r>
      <w:r w:rsidRPr="00857730">
        <w:rPr>
          <w:rFonts w:cs="Arial"/>
        </w:rPr>
        <w:t xml:space="preserve">: </w:t>
      </w:r>
      <w:r w:rsidR="00B90027" w:rsidRPr="00B90027">
        <w:rPr>
          <w:rFonts w:cs="Arial"/>
        </w:rPr>
        <w:t>Contemporary Approaches to Equal Protection</w:t>
      </w:r>
    </w:p>
    <w:p w14:paraId="7132C174" w14:textId="17FB3B6D" w:rsidR="00AC6798" w:rsidRPr="00857730" w:rsidRDefault="00AC6798" w:rsidP="00A12BED">
      <w:pPr>
        <w:pStyle w:val="Heading2"/>
        <w:rPr>
          <w:rFonts w:cs="Arial"/>
        </w:rPr>
      </w:pPr>
      <w:r w:rsidRPr="00857730">
        <w:rPr>
          <w:rFonts w:cs="Arial"/>
        </w:rPr>
        <w:t>Annotated Chapter Outline</w:t>
      </w:r>
    </w:p>
    <w:p w14:paraId="150F6EC5" w14:textId="57544F1C" w:rsidR="006E099D" w:rsidRDefault="006E099D" w:rsidP="00AC67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Introduction</w:t>
      </w:r>
    </w:p>
    <w:p w14:paraId="3B126AAA" w14:textId="6A0DB672" w:rsidR="006E099D" w:rsidRDefault="006E099D" w:rsidP="006E099D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i/>
          <w:iCs/>
        </w:rPr>
      </w:pPr>
      <w:r w:rsidRPr="006E099D">
        <w:rPr>
          <w:rFonts w:ascii="Arial" w:hAnsi="Arial" w:cs="Arial"/>
          <w:b/>
          <w:bCs/>
          <w:i/>
          <w:iCs/>
        </w:rPr>
        <w:t xml:space="preserve">United States v. Carolene Products Co. </w:t>
      </w:r>
      <w:r w:rsidRPr="005B59A6">
        <w:rPr>
          <w:rFonts w:ascii="Arial" w:hAnsi="Arial" w:cs="Arial"/>
          <w:b/>
          <w:bCs/>
        </w:rPr>
        <w:t>(1938)</w:t>
      </w:r>
    </w:p>
    <w:p w14:paraId="2E45C45B" w14:textId="58648ABC" w:rsidR="006D7C30" w:rsidRDefault="006D7C30" w:rsidP="006D7C30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6D7C30">
        <w:rPr>
          <w:rFonts w:ascii="Arial" w:hAnsi="Arial" w:cs="Arial"/>
        </w:rPr>
        <w:t>he contemporary Court has developed three different tests to evaluate claims of discrimination</w:t>
      </w:r>
      <w:r>
        <w:rPr>
          <w:rFonts w:ascii="Arial" w:hAnsi="Arial" w:cs="Arial"/>
        </w:rPr>
        <w:t>.</w:t>
      </w:r>
    </w:p>
    <w:p w14:paraId="0337461B" w14:textId="0EFBD8F4" w:rsidR="006D7C30" w:rsidRDefault="006D7C30" w:rsidP="006D7C30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D7C30">
        <w:rPr>
          <w:rFonts w:ascii="Arial" w:hAnsi="Arial" w:cs="Arial"/>
        </w:rPr>
        <w:t>The genesis seems to lie in Footnote Four</w:t>
      </w:r>
      <w:r>
        <w:rPr>
          <w:rFonts w:ascii="Arial" w:hAnsi="Arial" w:cs="Arial"/>
        </w:rPr>
        <w:t>, which contains some important ideas.</w:t>
      </w:r>
    </w:p>
    <w:p w14:paraId="4992428F" w14:textId="1665C02C" w:rsidR="006D7C30" w:rsidRDefault="006D7C30" w:rsidP="006D7C3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D7C30">
        <w:rPr>
          <w:rFonts w:ascii="Arial" w:hAnsi="Arial" w:cs="Arial"/>
        </w:rPr>
        <w:t xml:space="preserve">First, certain groups are more likely than others to be the target of </w:t>
      </w:r>
      <w:r>
        <w:rPr>
          <w:rFonts w:ascii="Arial" w:hAnsi="Arial" w:cs="Arial"/>
        </w:rPr>
        <w:t xml:space="preserve">different kinds of </w:t>
      </w:r>
      <w:r w:rsidRPr="006D7C30">
        <w:rPr>
          <w:rFonts w:ascii="Arial" w:hAnsi="Arial" w:cs="Arial"/>
        </w:rPr>
        <w:t>discrimination</w:t>
      </w:r>
      <w:r>
        <w:rPr>
          <w:rFonts w:ascii="Arial" w:hAnsi="Arial" w:cs="Arial"/>
        </w:rPr>
        <w:t>.</w:t>
      </w:r>
    </w:p>
    <w:p w14:paraId="1DA808C4" w14:textId="78189F3B" w:rsidR="006D7C30" w:rsidRDefault="006D7C30" w:rsidP="006D7C3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6D7C30">
        <w:rPr>
          <w:rFonts w:ascii="Arial" w:hAnsi="Arial" w:cs="Arial"/>
        </w:rPr>
        <w:t>ecause of these difficulties and obstacles, courts may not be able to trust legislatures to draw classifications that reflect legitimate interests rather than a bad motive in the form of prejudice</w:t>
      </w:r>
      <w:r>
        <w:rPr>
          <w:rFonts w:ascii="Arial" w:hAnsi="Arial" w:cs="Arial"/>
        </w:rPr>
        <w:t>.</w:t>
      </w:r>
    </w:p>
    <w:p w14:paraId="24836612" w14:textId="63EFE08E" w:rsidR="004E6774" w:rsidRPr="006D7C30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4E6774">
        <w:rPr>
          <w:rFonts w:ascii="Arial" w:hAnsi="Arial" w:cs="Arial"/>
        </w:rPr>
        <w:t>Over time, the Court transformed these ideas into the strict scrutiny test.</w:t>
      </w:r>
    </w:p>
    <w:p w14:paraId="43348257" w14:textId="0348A5DB" w:rsidR="00AC6798" w:rsidRDefault="002049CB" w:rsidP="00AC67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Rational Basis Scrutiny</w:t>
      </w:r>
    </w:p>
    <w:p w14:paraId="3D5A9F6B" w14:textId="0F93E437" w:rsidR="006E099D" w:rsidRPr="005B59A6" w:rsidRDefault="006E099D" w:rsidP="006E099D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6E099D">
        <w:rPr>
          <w:rFonts w:ascii="Arial" w:hAnsi="Arial" w:cs="Arial"/>
          <w:b/>
          <w:bCs/>
          <w:i/>
          <w:iCs/>
        </w:rPr>
        <w:t xml:space="preserve">New York Transit Authority v. Beazer </w:t>
      </w:r>
      <w:r w:rsidRPr="005B59A6">
        <w:rPr>
          <w:rFonts w:ascii="Arial" w:hAnsi="Arial" w:cs="Arial"/>
          <w:b/>
          <w:bCs/>
        </w:rPr>
        <w:t>(1979)</w:t>
      </w:r>
    </w:p>
    <w:p w14:paraId="026862CE" w14:textId="77777777" w:rsidR="004E6774" w:rsidRP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4E6774">
        <w:rPr>
          <w:rFonts w:ascii="Arial" w:hAnsi="Arial" w:cs="Arial"/>
        </w:rPr>
        <w:t>The New York City Transit Authority refused to hire people who use narcotic drugs.</w:t>
      </w:r>
    </w:p>
    <w:p w14:paraId="4A4AEB5F" w14:textId="48D3DA3E" w:rsidR="004E6774" w:rsidRP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</w:rPr>
      </w:pPr>
      <w:r w:rsidRPr="004E6774">
        <w:rPr>
          <w:rFonts w:ascii="Arial" w:hAnsi="Arial" w:cs="Arial"/>
        </w:rPr>
        <w:t>Included in the category of narcotics was methadone, a drug used to help treat addiction to heroin.</w:t>
      </w:r>
    </w:p>
    <w:p w14:paraId="5236B646" w14:textId="3538823D" w:rsidR="004E6774" w:rsidRP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4E6774">
        <w:rPr>
          <w:rFonts w:ascii="Arial" w:hAnsi="Arial" w:cs="Arial"/>
        </w:rPr>
        <w:t>Beazer and several others who were receiving methadone therapy brought suit, claiming that the TA had violated the equal protection clause.</w:t>
      </w:r>
    </w:p>
    <w:p w14:paraId="3EEE5D13" w14:textId="7D295516" w:rsidR="004E6774" w:rsidRP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4E6774">
        <w:rPr>
          <w:rFonts w:ascii="Arial" w:hAnsi="Arial" w:cs="Arial"/>
        </w:rPr>
        <w:t>The TA claimed that it needed to discriminate against methadone users to ensure a “capable and reliable work force.”</w:t>
      </w:r>
    </w:p>
    <w:p w14:paraId="0D70E26C" w14:textId="30342CA7" w:rsid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4E6774">
        <w:rPr>
          <w:rFonts w:ascii="Arial" w:hAnsi="Arial" w:cs="Arial"/>
        </w:rPr>
        <w:t>he methadone users claimed that the policy is underinclusive because some non–methadone users are unsafe and unreliable workers</w:t>
      </w:r>
      <w:r>
        <w:rPr>
          <w:rFonts w:ascii="Arial" w:hAnsi="Arial" w:cs="Arial"/>
        </w:rPr>
        <w:t>.</w:t>
      </w:r>
    </w:p>
    <w:p w14:paraId="6A5CB101" w14:textId="7CEC112C" w:rsid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4E6774">
        <w:rPr>
          <w:rFonts w:ascii="Arial" w:hAnsi="Arial" w:cs="Arial"/>
        </w:rPr>
        <w:t>The workers also argued that the policy is overinclusive because it covers too many people.</w:t>
      </w:r>
    </w:p>
    <w:p w14:paraId="548C2B45" w14:textId="4456808E" w:rsidR="004E6774" w:rsidRP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4E6774">
        <w:rPr>
          <w:rFonts w:ascii="Arial" w:hAnsi="Arial" w:cs="Arial"/>
        </w:rPr>
        <w:t>While acknowledging that the fit between the TA’s classification and its justification was not the tightest, the majority did not see anything invidious in the classification.</w:t>
      </w:r>
    </w:p>
    <w:p w14:paraId="445CC3C7" w14:textId="0520ED25" w:rsidR="006E099D" w:rsidRDefault="006E099D" w:rsidP="006E099D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i/>
          <w:iCs/>
        </w:rPr>
      </w:pPr>
      <w:r w:rsidRPr="006E099D">
        <w:rPr>
          <w:rFonts w:ascii="Arial" w:hAnsi="Arial" w:cs="Arial"/>
          <w:b/>
          <w:bCs/>
          <w:i/>
          <w:iCs/>
        </w:rPr>
        <w:t>Cleburne v. Cleburne Living Center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5B59A6">
        <w:rPr>
          <w:rFonts w:ascii="Arial" w:hAnsi="Arial" w:cs="Arial"/>
          <w:b/>
          <w:bCs/>
        </w:rPr>
        <w:t>(1985)</w:t>
      </w:r>
    </w:p>
    <w:p w14:paraId="16AF0882" w14:textId="40BE455F" w:rsid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4E6774">
        <w:rPr>
          <w:rFonts w:ascii="Arial" w:hAnsi="Arial" w:cs="Arial"/>
        </w:rPr>
        <w:t>he Court applied rational basis scrutiny</w:t>
      </w:r>
      <w:r>
        <w:rPr>
          <w:rFonts w:ascii="Arial" w:hAnsi="Arial" w:cs="Arial"/>
        </w:rPr>
        <w:t xml:space="preserve"> and</w:t>
      </w:r>
      <w:r w:rsidRPr="004E6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found</w:t>
      </w:r>
      <w:r w:rsidRPr="004E6774">
        <w:rPr>
          <w:rFonts w:ascii="Arial" w:hAnsi="Arial" w:cs="Arial"/>
        </w:rPr>
        <w:t xml:space="preserve"> a violation of the equal protection clause.</w:t>
      </w:r>
    </w:p>
    <w:p w14:paraId="1FA4D9B1" w14:textId="5036D3B7" w:rsidR="004E6774" w:rsidRPr="004E6774" w:rsidRDefault="004E6774" w:rsidP="004E677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4E6774">
        <w:rPr>
          <w:rFonts w:ascii="Arial" w:hAnsi="Arial" w:cs="Arial"/>
        </w:rPr>
        <w:t>Only if the real motivation was bias against a particular group did the ordinance make sense.</w:t>
      </w:r>
    </w:p>
    <w:p w14:paraId="0E22D03E" w14:textId="34EE6A93" w:rsidR="002049CB" w:rsidRDefault="002049CB" w:rsidP="00AC67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Strict Scrutiny and Claims of Race Discrimination</w:t>
      </w:r>
    </w:p>
    <w:p w14:paraId="42CC2D2C" w14:textId="140D7EDF" w:rsidR="002049CB" w:rsidRDefault="002049CB" w:rsidP="006E099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Racial Classifications That Disadvantage People of Color</w:t>
      </w:r>
    </w:p>
    <w:p w14:paraId="3A0CD5B7" w14:textId="77777777" w:rsidR="006E099D" w:rsidRPr="005B59A6" w:rsidRDefault="006E099D" w:rsidP="006E099D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</w:rPr>
      </w:pPr>
      <w:r w:rsidRPr="006E099D">
        <w:rPr>
          <w:rFonts w:ascii="Arial" w:hAnsi="Arial" w:cs="Arial"/>
          <w:b/>
          <w:bCs/>
          <w:i/>
          <w:iCs/>
        </w:rPr>
        <w:lastRenderedPageBreak/>
        <w:t xml:space="preserve">Korematsu v. United States </w:t>
      </w:r>
      <w:r w:rsidRPr="005B59A6">
        <w:rPr>
          <w:rFonts w:ascii="Arial" w:hAnsi="Arial" w:cs="Arial"/>
          <w:b/>
          <w:bCs/>
        </w:rPr>
        <w:t>(1944)</w:t>
      </w:r>
    </w:p>
    <w:p w14:paraId="1BF0FC73" w14:textId="403FDA5F" w:rsidR="006F7CCC" w:rsidRP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The Court noted that, as members of a suspect class, Black litigants enjoyed the advantages of a rigid scrutiny test.</w:t>
      </w:r>
    </w:p>
    <w:p w14:paraId="196F9497" w14:textId="77777777" w:rsidR="006E099D" w:rsidRPr="005B59A6" w:rsidRDefault="006E099D" w:rsidP="006E099D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E099D">
        <w:rPr>
          <w:rFonts w:ascii="Arial" w:hAnsi="Arial" w:cs="Arial"/>
          <w:i/>
          <w:iCs/>
        </w:rPr>
        <w:t xml:space="preserve">Loving v. Virginia </w:t>
      </w:r>
      <w:r w:rsidRPr="005B59A6">
        <w:rPr>
          <w:rFonts w:ascii="Arial" w:hAnsi="Arial" w:cs="Arial"/>
        </w:rPr>
        <w:t>(1967)</w:t>
      </w:r>
    </w:p>
    <w:p w14:paraId="554215A3" w14:textId="4085EDE1" w:rsid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 xml:space="preserve">case </w:t>
      </w:r>
      <w:r w:rsidRPr="006F7CCC">
        <w:rPr>
          <w:rFonts w:ascii="Arial" w:hAnsi="Arial" w:cs="Arial"/>
        </w:rPr>
        <w:t>concerned the part of life that segregationist forces least wanted to see integrated: marriage.</w:t>
      </w:r>
    </w:p>
    <w:p w14:paraId="7B5E4EB1" w14:textId="380A851A" w:rsid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F7CCC">
        <w:rPr>
          <w:rFonts w:ascii="Arial" w:hAnsi="Arial" w:cs="Arial"/>
        </w:rPr>
        <w:t>ixteen states, all of them southern or border states, had miscegenation statutes that made interracial marriages unlawful.</w:t>
      </w:r>
    </w:p>
    <w:p w14:paraId="0345190A" w14:textId="043F8531" w:rsidR="006F7CCC" w:rsidRP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This case</w:t>
      </w:r>
      <w:r w:rsidRPr="006F7CCC">
        <w:rPr>
          <w:rFonts w:ascii="Arial" w:hAnsi="Arial" w:cs="Arial"/>
        </w:rPr>
        <w:t xml:space="preserve"> illustrates the Court’s rejection of government policies that place minorities at a disadvantage or are based on racial stereotypes.</w:t>
      </w:r>
    </w:p>
    <w:p w14:paraId="4932B9C0" w14:textId="68A426CA" w:rsidR="006E099D" w:rsidRPr="006F7CCC" w:rsidRDefault="006E099D" w:rsidP="006E099D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E099D">
        <w:rPr>
          <w:rFonts w:ascii="Arial" w:hAnsi="Arial" w:cs="Arial"/>
          <w:b/>
          <w:bCs/>
          <w:i/>
          <w:iCs/>
        </w:rPr>
        <w:t xml:space="preserve">Washington v. Davis </w:t>
      </w:r>
      <w:r w:rsidRPr="005B59A6">
        <w:rPr>
          <w:rFonts w:ascii="Arial" w:hAnsi="Arial" w:cs="Arial"/>
          <w:b/>
          <w:bCs/>
        </w:rPr>
        <w:t>(1976)</w:t>
      </w:r>
    </w:p>
    <w:p w14:paraId="10D6A6E6" w14:textId="77777777" w:rsid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At issue was a standard verbal ability, reading, and vocabulary examination that all applicants to the police force in Washington, D.C., were required to take.</w:t>
      </w:r>
    </w:p>
    <w:p w14:paraId="79D0A079" w14:textId="145B624C" w:rsid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Unsuccessful Black applicants challenged the exam, pointing out that the test had a disproportionately negative effect on Black candidates</w:t>
      </w:r>
      <w:r>
        <w:rPr>
          <w:rFonts w:ascii="Arial" w:hAnsi="Arial" w:cs="Arial"/>
        </w:rPr>
        <w:t>.</w:t>
      </w:r>
    </w:p>
    <w:p w14:paraId="01287714" w14:textId="14A5B243" w:rsid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A federal appeals court agreed</w:t>
      </w:r>
      <w:r>
        <w:rPr>
          <w:rFonts w:ascii="Arial" w:hAnsi="Arial" w:cs="Arial"/>
        </w:rPr>
        <w:t>, b</w:t>
      </w:r>
      <w:r w:rsidRPr="006F7CCC">
        <w:rPr>
          <w:rFonts w:ascii="Arial" w:hAnsi="Arial" w:cs="Arial"/>
        </w:rPr>
        <w:t>ut, in a 7–2 decision, the Supreme Court reversed.</w:t>
      </w:r>
    </w:p>
    <w:p w14:paraId="26849CD5" w14:textId="0E50C20C" w:rsid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Justice White emphasized that a successful constitutional challenge requires proof of discriminatory intent.</w:t>
      </w:r>
    </w:p>
    <w:p w14:paraId="11D3596C" w14:textId="522B1087" w:rsidR="002049CB" w:rsidRDefault="002049CB" w:rsidP="002049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Diversity (Affirmative Action) Programs</w:t>
      </w:r>
    </w:p>
    <w:p w14:paraId="66EDD3FE" w14:textId="11F2DB27" w:rsidR="006F7CCC" w:rsidRDefault="006F7CCC" w:rsidP="006F7CCC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Affirmative action programs have their roots in presidential orders, issued as early as the 1940s, that expanded government employment opportunities for Black Americans.</w:t>
      </w:r>
    </w:p>
    <w:p w14:paraId="36826D14" w14:textId="77777777" w:rsidR="006F7CCC" w:rsidRDefault="006F7CCC" w:rsidP="006F7CCC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Supporters of affirmative action tend to advocate against strict scrutiny.</w:t>
      </w:r>
    </w:p>
    <w:p w14:paraId="00333DD8" w14:textId="41E9843A" w:rsid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To them, strict scrutiny should be reserved for classifications that burden racial minorities because the entire point of strict scrutiny is to uncover racial animus.</w:t>
      </w:r>
    </w:p>
    <w:p w14:paraId="4627CC2E" w14:textId="77777777" w:rsidR="006F7CCC" w:rsidRDefault="006F7CCC" w:rsidP="006F7CCC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Opponents of affirmative action contend that the Court should apply strict scrutiny.</w:t>
      </w:r>
    </w:p>
    <w:p w14:paraId="72A82AD4" w14:textId="7817DA8A" w:rsidR="006F7CCC" w:rsidRDefault="006F7CCC" w:rsidP="006F7CCC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F7CCC">
        <w:rPr>
          <w:rFonts w:ascii="Arial" w:hAnsi="Arial" w:cs="Arial"/>
        </w:rPr>
        <w:t>To them it is irrelevant whether the program benefits racial minorities; the only question is whether the program draws a classification on the basis of race.</w:t>
      </w:r>
    </w:p>
    <w:p w14:paraId="37BEB4C6" w14:textId="15D9994E" w:rsidR="002049CB" w:rsidRDefault="002049CB" w:rsidP="002049CB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The Court Enters the Fray</w:t>
      </w:r>
    </w:p>
    <w:p w14:paraId="7DB832EC" w14:textId="20154F1E" w:rsidR="006E099D" w:rsidRPr="005B59A6" w:rsidRDefault="006E099D" w:rsidP="006E099D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E099D">
        <w:rPr>
          <w:rFonts w:ascii="Arial" w:hAnsi="Arial" w:cs="Arial"/>
          <w:i/>
          <w:iCs/>
        </w:rPr>
        <w:t xml:space="preserve">Regents of the University of California v. Bakke </w:t>
      </w:r>
      <w:r w:rsidRPr="005B59A6">
        <w:rPr>
          <w:rFonts w:ascii="Arial" w:hAnsi="Arial" w:cs="Arial"/>
        </w:rPr>
        <w:t>(1978)</w:t>
      </w:r>
    </w:p>
    <w:p w14:paraId="3B50AF02" w14:textId="13539657" w:rsidR="006F7CCC" w:rsidRDefault="006A6239" w:rsidP="006F7CCC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A6239">
        <w:rPr>
          <w:rFonts w:ascii="Arial" w:hAnsi="Arial" w:cs="Arial"/>
        </w:rPr>
        <w:t>This case was an equal protection clause challenge to a public university’s policy to admit a specific number of minority applicants.</w:t>
      </w:r>
    </w:p>
    <w:p w14:paraId="0519FF02" w14:textId="7FEC8860" w:rsidR="006A6239" w:rsidRDefault="006A6239" w:rsidP="006F7CCC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A6239">
        <w:rPr>
          <w:rFonts w:ascii="Arial" w:hAnsi="Arial" w:cs="Arial"/>
        </w:rPr>
        <w:t>Justice Powell’s opinion was a victory for Allan Bakke, who won admission to the medical school at Davis after a long legal battle</w:t>
      </w:r>
      <w:r>
        <w:rPr>
          <w:rFonts w:ascii="Arial" w:hAnsi="Arial" w:cs="Arial"/>
        </w:rPr>
        <w:t>.</w:t>
      </w:r>
    </w:p>
    <w:p w14:paraId="0F717D65" w14:textId="0B96D94B" w:rsidR="006A6239" w:rsidRDefault="006A6239" w:rsidP="006F7CCC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A6239">
        <w:rPr>
          <w:rFonts w:ascii="Arial" w:hAnsi="Arial" w:cs="Arial"/>
        </w:rPr>
        <w:lastRenderedPageBreak/>
        <w:t>The justices, however, were sharply divided not only in their views of affirmative action programs but also over the legal grounds on which to rest the Court’s ruling.</w:t>
      </w:r>
    </w:p>
    <w:p w14:paraId="60AFA9E7" w14:textId="4EACB27A" w:rsidR="006A6239" w:rsidRDefault="006A6239" w:rsidP="006A6239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Four justices </w:t>
      </w:r>
      <w:r w:rsidRPr="006A6239">
        <w:rPr>
          <w:rFonts w:ascii="Arial" w:hAnsi="Arial" w:cs="Arial"/>
        </w:rPr>
        <w:t>concluded that the university had violated Bakke’s rights under Title VI of the Civil Rights Act of 1964</w:t>
      </w:r>
      <w:r>
        <w:rPr>
          <w:rFonts w:ascii="Arial" w:hAnsi="Arial" w:cs="Arial"/>
        </w:rPr>
        <w:t>, avoiding constitutional controversy.</w:t>
      </w:r>
    </w:p>
    <w:p w14:paraId="32E8FF84" w14:textId="5EFB79F7" w:rsidR="006A6239" w:rsidRDefault="006A6239" w:rsidP="006A6239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A6239">
        <w:rPr>
          <w:rFonts w:ascii="Arial" w:hAnsi="Arial" w:cs="Arial"/>
        </w:rPr>
        <w:t>Four justices argued that intermediate scrutiny was the appropriate standard to use in “benign” discrimination cases and that the University of California’s program was constitutional under that analysis.</w:t>
      </w:r>
    </w:p>
    <w:p w14:paraId="54779AB0" w14:textId="381258E4" w:rsidR="006A6239" w:rsidRPr="006A6239" w:rsidRDefault="006A6239" w:rsidP="006A6239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A6239">
        <w:rPr>
          <w:rFonts w:ascii="Arial" w:hAnsi="Arial" w:cs="Arial"/>
        </w:rPr>
        <w:t>Four other justices preferred to invalidate the university’s admissions policy on statutory grounds.</w:t>
      </w:r>
    </w:p>
    <w:p w14:paraId="2DA68A09" w14:textId="51A0243C" w:rsidR="002049CB" w:rsidRDefault="002049CB" w:rsidP="002049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The Demise of Affirmative Action Programs in University Admissions</w:t>
      </w:r>
    </w:p>
    <w:p w14:paraId="2630F515" w14:textId="49BF4FE5" w:rsidR="006E099D" w:rsidRPr="005B59A6" w:rsidRDefault="006E099D" w:rsidP="006E099D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</w:rPr>
      </w:pPr>
      <w:r w:rsidRPr="006E099D">
        <w:rPr>
          <w:rFonts w:ascii="Arial" w:hAnsi="Arial" w:cs="Arial"/>
          <w:b/>
          <w:bCs/>
          <w:i/>
          <w:iCs/>
        </w:rPr>
        <w:t xml:space="preserve">Grutter v. Bollinger </w:t>
      </w:r>
      <w:r w:rsidRPr="005B59A6">
        <w:rPr>
          <w:rFonts w:ascii="Arial" w:hAnsi="Arial" w:cs="Arial"/>
          <w:b/>
          <w:bCs/>
        </w:rPr>
        <w:t>(2003)</w:t>
      </w:r>
    </w:p>
    <w:p w14:paraId="417D2BA7" w14:textId="1F05DE48" w:rsidR="006A6239" w:rsidRDefault="006A6239" w:rsidP="006A6239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6A6239">
        <w:rPr>
          <w:rFonts w:ascii="Arial" w:hAnsi="Arial" w:cs="Arial"/>
        </w:rPr>
        <w:t>he Court agreed that strict scrutiny was the appropriate test for deciding racial preference cases</w:t>
      </w:r>
      <w:r>
        <w:rPr>
          <w:rFonts w:ascii="Arial" w:hAnsi="Arial" w:cs="Arial"/>
        </w:rPr>
        <w:t>.</w:t>
      </w:r>
    </w:p>
    <w:p w14:paraId="12E60673" w14:textId="14A1D21A" w:rsidR="006A6239" w:rsidRDefault="006A6239" w:rsidP="006A6239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Court also agreed</w:t>
      </w:r>
      <w:r w:rsidRPr="006A6239">
        <w:rPr>
          <w:rFonts w:ascii="Arial" w:hAnsi="Arial" w:cs="Arial"/>
        </w:rPr>
        <w:t xml:space="preserve"> that a diverse student body is a sufficiently compelling state interest to justify taking race into account as one of several diversity factors considered.</w:t>
      </w:r>
    </w:p>
    <w:p w14:paraId="464D1E0C" w14:textId="13C89497" w:rsidR="006A6239" w:rsidRPr="006A6239" w:rsidRDefault="006A6239" w:rsidP="006A6239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6A6239">
        <w:rPr>
          <w:rFonts w:ascii="Arial" w:hAnsi="Arial" w:cs="Arial"/>
        </w:rPr>
        <w:t>Because the admissions program at issue withstood the strict scrutiny analysis, the Court upheld it.</w:t>
      </w:r>
    </w:p>
    <w:p w14:paraId="73FD8DCB" w14:textId="23E3092D" w:rsidR="006E099D" w:rsidRPr="005B59A6" w:rsidRDefault="006E099D" w:rsidP="006E099D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E099D">
        <w:rPr>
          <w:rFonts w:ascii="Arial" w:hAnsi="Arial" w:cs="Arial"/>
          <w:i/>
          <w:iCs/>
        </w:rPr>
        <w:t>Students for Fair Admissions, Inc. v. President and Fellows of Harvard College</w:t>
      </w:r>
      <w:r>
        <w:rPr>
          <w:rFonts w:ascii="Arial" w:hAnsi="Arial" w:cs="Arial"/>
          <w:i/>
          <w:iCs/>
        </w:rPr>
        <w:t xml:space="preserve"> </w:t>
      </w:r>
      <w:r w:rsidRPr="005B59A6">
        <w:rPr>
          <w:rFonts w:ascii="Arial" w:hAnsi="Arial" w:cs="Arial"/>
        </w:rPr>
        <w:t>(2023)</w:t>
      </w:r>
    </w:p>
    <w:p w14:paraId="2FFCEED5" w14:textId="33549236" w:rsidR="00043CB4" w:rsidRDefault="00043CB4" w:rsidP="00043CB4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43CB4">
        <w:rPr>
          <w:rFonts w:ascii="Arial" w:hAnsi="Arial" w:cs="Arial"/>
        </w:rPr>
        <w:t>he Court held that race-based admissions programs</w:t>
      </w:r>
      <w:r>
        <w:rPr>
          <w:rFonts w:ascii="Arial" w:hAnsi="Arial" w:cs="Arial"/>
        </w:rPr>
        <w:t xml:space="preserve"> do not withstand strict scrutiny</w:t>
      </w:r>
      <w:r w:rsidRPr="00043CB4">
        <w:rPr>
          <w:rFonts w:ascii="Arial" w:hAnsi="Arial" w:cs="Arial"/>
        </w:rPr>
        <w:t xml:space="preserve"> violate</w:t>
      </w:r>
      <w:r>
        <w:rPr>
          <w:rFonts w:ascii="Arial" w:hAnsi="Arial" w:cs="Arial"/>
        </w:rPr>
        <w:t xml:space="preserve"> and</w:t>
      </w:r>
      <w:r w:rsidRPr="00043CB4">
        <w:rPr>
          <w:rFonts w:ascii="Arial" w:hAnsi="Arial" w:cs="Arial"/>
        </w:rPr>
        <w:t xml:space="preserve"> the equal protection clause, effectively overruling </w:t>
      </w:r>
      <w:r w:rsidRPr="00043CB4">
        <w:rPr>
          <w:rFonts w:ascii="Arial" w:hAnsi="Arial" w:cs="Arial"/>
          <w:i/>
          <w:iCs/>
        </w:rPr>
        <w:t>Grutter</w:t>
      </w:r>
      <w:r w:rsidRPr="00043CB4">
        <w:rPr>
          <w:rFonts w:ascii="Arial" w:hAnsi="Arial" w:cs="Arial"/>
        </w:rPr>
        <w:t>.</w:t>
      </w:r>
    </w:p>
    <w:p w14:paraId="08499A48" w14:textId="173F9521" w:rsidR="002049CB" w:rsidRDefault="002049CB" w:rsidP="002049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Heightened Scrutiny and Claims of Gender Discrimination</w:t>
      </w:r>
    </w:p>
    <w:p w14:paraId="793B5C79" w14:textId="0D722E68" w:rsidR="006E099D" w:rsidRPr="005B59A6" w:rsidRDefault="006E099D" w:rsidP="006E099D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6E099D">
        <w:rPr>
          <w:rFonts w:ascii="Arial" w:hAnsi="Arial" w:cs="Arial"/>
          <w:b/>
          <w:bCs/>
          <w:i/>
          <w:iCs/>
        </w:rPr>
        <w:t xml:space="preserve">Bradwell v. Illinois </w:t>
      </w:r>
      <w:r w:rsidRPr="005B59A6">
        <w:rPr>
          <w:rFonts w:ascii="Arial" w:hAnsi="Arial" w:cs="Arial"/>
          <w:b/>
          <w:bCs/>
        </w:rPr>
        <w:t>(1873)</w:t>
      </w:r>
    </w:p>
    <w:p w14:paraId="37157BAC" w14:textId="30F9A256" w:rsidR="00043CB4" w:rsidRDefault="00043CB4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43CB4">
        <w:rPr>
          <w:rFonts w:ascii="Arial" w:hAnsi="Arial" w:cs="Arial"/>
        </w:rPr>
        <w:t>he Court heard a challenge to an action by the Illinois Supreme Court denying Myra Bradwell a license to practice law solely because of her sex</w:t>
      </w:r>
      <w:r>
        <w:rPr>
          <w:rFonts w:ascii="Arial" w:hAnsi="Arial" w:cs="Arial"/>
        </w:rPr>
        <w:t>.</w:t>
      </w:r>
    </w:p>
    <w:p w14:paraId="0A19E3E8" w14:textId="76E29AA8" w:rsidR="00043CB4" w:rsidRDefault="00043CB4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043CB4">
        <w:rPr>
          <w:rFonts w:ascii="Arial" w:hAnsi="Arial" w:cs="Arial"/>
        </w:rPr>
        <w:t>The Court, with only Chief Justice Salmon P. Chase dissenting, upheld the state action.</w:t>
      </w:r>
    </w:p>
    <w:p w14:paraId="77796916" w14:textId="77777777" w:rsidR="00043CB4" w:rsidRDefault="00043CB4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Justice </w:t>
      </w:r>
      <w:r w:rsidRPr="00043CB4">
        <w:rPr>
          <w:rFonts w:ascii="Arial" w:hAnsi="Arial" w:cs="Arial"/>
        </w:rPr>
        <w:t>Bradley said that he gave his “heartiest concurrence” to contemporary society’s “multiplication of avenues for women’s advancement.”</w:t>
      </w:r>
    </w:p>
    <w:p w14:paraId="353A5387" w14:textId="4A95FF8C" w:rsidR="00043CB4" w:rsidRPr="00043CB4" w:rsidRDefault="00043CB4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043CB4">
        <w:rPr>
          <w:rFonts w:ascii="Arial" w:hAnsi="Arial" w:cs="Arial"/>
        </w:rPr>
        <w:t>But, he added, “The natural and proper timidity and delicacy which belongs to the female sex evidently unfits it for many of the occupations of civil life.”</w:t>
      </w:r>
    </w:p>
    <w:p w14:paraId="30254276" w14:textId="2FAB1198" w:rsidR="006E099D" w:rsidRPr="005B59A6" w:rsidRDefault="006E099D" w:rsidP="006E099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6E099D">
        <w:rPr>
          <w:rFonts w:ascii="Arial" w:hAnsi="Arial" w:cs="Arial"/>
          <w:i/>
          <w:iCs/>
        </w:rPr>
        <w:t xml:space="preserve">Minor v. Happersett </w:t>
      </w:r>
      <w:r w:rsidRPr="005B59A6">
        <w:rPr>
          <w:rFonts w:ascii="Arial" w:hAnsi="Arial" w:cs="Arial"/>
        </w:rPr>
        <w:t>(1875)</w:t>
      </w:r>
    </w:p>
    <w:p w14:paraId="3D313F2F" w14:textId="1C81D516" w:rsidR="00043CB4" w:rsidRPr="00043CB4" w:rsidRDefault="00043CB4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043CB4">
        <w:rPr>
          <w:rFonts w:ascii="Arial" w:hAnsi="Arial" w:cs="Arial"/>
        </w:rPr>
        <w:t>The Court upheld Missouri’s denial of voting rights to women, a precedent in effect until ratification of the Nineteenth Amendment in 1920.</w:t>
      </w:r>
    </w:p>
    <w:p w14:paraId="3A6D3E53" w14:textId="74208A20" w:rsidR="006E099D" w:rsidRPr="005B59A6" w:rsidRDefault="006E099D" w:rsidP="006E099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6E099D">
        <w:rPr>
          <w:rFonts w:ascii="Arial" w:hAnsi="Arial" w:cs="Arial"/>
          <w:i/>
          <w:iCs/>
        </w:rPr>
        <w:t>Muller v. Oregon</w:t>
      </w:r>
      <w:r>
        <w:rPr>
          <w:rFonts w:ascii="Arial" w:hAnsi="Arial" w:cs="Arial"/>
          <w:i/>
          <w:iCs/>
        </w:rPr>
        <w:t xml:space="preserve"> </w:t>
      </w:r>
      <w:r w:rsidRPr="005B59A6">
        <w:rPr>
          <w:rFonts w:ascii="Arial" w:hAnsi="Arial" w:cs="Arial"/>
        </w:rPr>
        <w:t>(1908)</w:t>
      </w:r>
    </w:p>
    <w:p w14:paraId="1E2A6F7A" w14:textId="637B307E" w:rsidR="00043CB4" w:rsidRDefault="00043CB4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43CB4">
        <w:rPr>
          <w:rFonts w:ascii="Arial" w:hAnsi="Arial" w:cs="Arial"/>
        </w:rPr>
        <w:t>he Court upheld a maximum-work-hours law that covered only women, echoed Justice Bradley’s view of women.</w:t>
      </w:r>
    </w:p>
    <w:p w14:paraId="5ACEC445" w14:textId="77777777" w:rsidR="00043CB4" w:rsidRPr="005B59A6" w:rsidRDefault="00043CB4" w:rsidP="00043CB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043CB4">
        <w:rPr>
          <w:rFonts w:ascii="Arial" w:hAnsi="Arial" w:cs="Arial"/>
          <w:i/>
          <w:iCs/>
        </w:rPr>
        <w:t xml:space="preserve">Goesaert v. Cleary </w:t>
      </w:r>
      <w:r w:rsidRPr="005B59A6">
        <w:rPr>
          <w:rFonts w:ascii="Arial" w:hAnsi="Arial" w:cs="Arial"/>
        </w:rPr>
        <w:t>(1948)</w:t>
      </w:r>
    </w:p>
    <w:p w14:paraId="27E16A2B" w14:textId="15460D3F" w:rsidR="00043CB4" w:rsidRDefault="00043CB4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</w:t>
      </w:r>
      <w:r w:rsidRPr="00043CB4">
        <w:rPr>
          <w:rFonts w:ascii="Arial" w:hAnsi="Arial" w:cs="Arial"/>
        </w:rPr>
        <w:t>he justices declared valid a Michigan law that barred a woman from becoming a bartender unless she was a member of the bar owner’s immediate family.</w:t>
      </w:r>
    </w:p>
    <w:p w14:paraId="2E2E8653" w14:textId="77777777" w:rsidR="00043CB4" w:rsidRPr="005B59A6" w:rsidRDefault="00043CB4" w:rsidP="00043CB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043CB4">
        <w:rPr>
          <w:rFonts w:ascii="Arial" w:hAnsi="Arial" w:cs="Arial"/>
          <w:i/>
          <w:iCs/>
        </w:rPr>
        <w:t xml:space="preserve">Hoyt v. Florida </w:t>
      </w:r>
      <w:r w:rsidRPr="005B59A6">
        <w:rPr>
          <w:rFonts w:ascii="Arial" w:hAnsi="Arial" w:cs="Arial"/>
        </w:rPr>
        <w:t>(1961)</w:t>
      </w:r>
    </w:p>
    <w:p w14:paraId="0385FC20" w14:textId="4909C451" w:rsidR="00043CB4" w:rsidRDefault="00043CB4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43CB4">
        <w:rPr>
          <w:rFonts w:ascii="Arial" w:hAnsi="Arial" w:cs="Arial"/>
        </w:rPr>
        <w:t>he justices upheld a Florida law that automatically exempted women from jury duty unless they asked to serve.</w:t>
      </w:r>
    </w:p>
    <w:p w14:paraId="2028BA00" w14:textId="660C437F" w:rsidR="00C96310" w:rsidRPr="00043CB4" w:rsidRDefault="00C96310" w:rsidP="00043CB4">
      <w:pPr>
        <w:pStyle w:val="ListParagraph"/>
        <w:numPr>
          <w:ilvl w:val="2"/>
          <w:numId w:val="1"/>
        </w:numPr>
        <w:rPr>
          <w:rFonts w:ascii="Arial" w:hAnsi="Arial" w:cs="Arial"/>
        </w:rPr>
      </w:pPr>
    </w:p>
    <w:p w14:paraId="59C16878" w14:textId="64978239" w:rsidR="002049CB" w:rsidRDefault="002049CB" w:rsidP="002049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Level of Scrutiny</w:t>
      </w:r>
    </w:p>
    <w:p w14:paraId="69C9E9B1" w14:textId="0A7635B0" w:rsidR="006E099D" w:rsidRPr="005B59A6" w:rsidRDefault="006E099D" w:rsidP="006E099D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E099D">
        <w:rPr>
          <w:rFonts w:ascii="Arial" w:hAnsi="Arial" w:cs="Arial"/>
          <w:i/>
          <w:iCs/>
        </w:rPr>
        <w:t xml:space="preserve">Reed v. Reed </w:t>
      </w:r>
      <w:r w:rsidRPr="005B59A6">
        <w:rPr>
          <w:rFonts w:ascii="Arial" w:hAnsi="Arial" w:cs="Arial"/>
        </w:rPr>
        <w:t>(1971)</w:t>
      </w:r>
    </w:p>
    <w:p w14:paraId="659D6744" w14:textId="23925C4D" w:rsidR="00C96310" w:rsidRDefault="00C96310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As issue was the validity of an Idaho inheritance statute that used sex classifications, which ACLU attorneys challenged as a violation of the equal protection clause of the Fourteenth Amendment.</w:t>
      </w:r>
    </w:p>
    <w:p w14:paraId="77E6F5E4" w14:textId="116546A3" w:rsidR="00C96310" w:rsidRDefault="00C96310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It was clear that the statute’s challenger would have to demonstrate both invidious discrimination and state action.</w:t>
      </w:r>
    </w:p>
    <w:p w14:paraId="72743026" w14:textId="77777777" w:rsidR="00C96310" w:rsidRDefault="00C96310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What was not so clear was the standard of scrutiny the justices would use.</w:t>
      </w:r>
    </w:p>
    <w:p w14:paraId="489FE34A" w14:textId="77777777" w:rsidR="00C96310" w:rsidRDefault="00C96310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The Court’s unanimous decision applied two important principles to gender-based discrimination.</w:t>
      </w:r>
    </w:p>
    <w:p w14:paraId="6021487E" w14:textId="3572CFBD" w:rsidR="00C96310" w:rsidRDefault="00C96310" w:rsidP="00C96310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First, that administrative convenience is no justification for violating the Constitution.</w:t>
      </w:r>
    </w:p>
    <w:p w14:paraId="1799A344" w14:textId="07114397" w:rsidR="00C96310" w:rsidRPr="00C96310" w:rsidRDefault="00C96310" w:rsidP="00C96310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Second, that laws containing overbroad, gender-based assumptions violate the equal protection clause.</w:t>
      </w:r>
    </w:p>
    <w:p w14:paraId="1140FD6E" w14:textId="373C97DA" w:rsidR="006E099D" w:rsidRPr="005B59A6" w:rsidRDefault="006E099D" w:rsidP="006E099D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</w:rPr>
      </w:pPr>
      <w:r w:rsidRPr="006E099D">
        <w:rPr>
          <w:rFonts w:ascii="Arial" w:hAnsi="Arial" w:cs="Arial"/>
          <w:b/>
          <w:bCs/>
          <w:i/>
          <w:iCs/>
        </w:rPr>
        <w:t xml:space="preserve">Frontiero v. Richardson </w:t>
      </w:r>
      <w:r w:rsidRPr="005B59A6">
        <w:rPr>
          <w:rFonts w:ascii="Arial" w:hAnsi="Arial" w:cs="Arial"/>
          <w:b/>
          <w:bCs/>
        </w:rPr>
        <w:t>(1973)</w:t>
      </w:r>
    </w:p>
    <w:p w14:paraId="763DA51A" w14:textId="77777777" w:rsidR="00C96310" w:rsidRPr="00C96310" w:rsidRDefault="00C96310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An Air Force lieutenant claimed that the military’s benefits policy discriminated on the basis of sex in violation of the Fifth Amendment’s due process clause.</w:t>
      </w:r>
    </w:p>
    <w:p w14:paraId="5E5B9BF0" w14:textId="77777777" w:rsidR="00C96310" w:rsidRPr="00C96310" w:rsidRDefault="00C96310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Her argument rested on the fact that husbands of female officers were not eligible for benefits without proof that the husband was financially dependent on his wife.</w:t>
      </w:r>
    </w:p>
    <w:p w14:paraId="49FEB46A" w14:textId="76A06AF6" w:rsidR="00C96310" w:rsidRPr="00C96310" w:rsidRDefault="00C96310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However, male officers’ wives were presumed to be financially dependent and were automatically entitled to benefits.</w:t>
      </w:r>
    </w:p>
    <w:p w14:paraId="54E385A7" w14:textId="773E4F93" w:rsidR="00C96310" w:rsidRDefault="00C96310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C96310">
        <w:rPr>
          <w:rFonts w:ascii="Arial" w:hAnsi="Arial" w:cs="Arial"/>
        </w:rPr>
        <w:t>The Court struck down the benefits eligibility rules.</w:t>
      </w:r>
    </w:p>
    <w:p w14:paraId="725666D1" w14:textId="60825510" w:rsidR="00F454B1" w:rsidRPr="00C96310" w:rsidRDefault="00F454B1" w:rsidP="00C96310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F454B1">
        <w:rPr>
          <w:rFonts w:ascii="Arial" w:hAnsi="Arial" w:cs="Arial"/>
        </w:rPr>
        <w:t>he justices remained far apart on the question of the appropriate level of scrutiny to apply.</w:t>
      </w:r>
    </w:p>
    <w:p w14:paraId="1C34D536" w14:textId="0135A2A9" w:rsidR="006E099D" w:rsidRPr="005B59A6" w:rsidRDefault="006E099D" w:rsidP="006E099D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E099D">
        <w:rPr>
          <w:rFonts w:ascii="Arial" w:hAnsi="Arial" w:cs="Arial"/>
          <w:i/>
          <w:iCs/>
        </w:rPr>
        <w:t xml:space="preserve">Craig v. Boren </w:t>
      </w:r>
      <w:r w:rsidRPr="005B59A6">
        <w:rPr>
          <w:rFonts w:ascii="Arial" w:hAnsi="Arial" w:cs="Arial"/>
        </w:rPr>
        <w:t>(1976)</w:t>
      </w:r>
    </w:p>
    <w:p w14:paraId="15B3906B" w14:textId="171C228D" w:rsidR="00F454B1" w:rsidRDefault="00F454B1" w:rsidP="00F454B1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F454B1">
        <w:rPr>
          <w:rFonts w:ascii="Arial" w:hAnsi="Arial" w:cs="Arial"/>
        </w:rPr>
        <w:t>The justices adopted an entirely new standard of scrutiny for gender discrimination cases.</w:t>
      </w:r>
    </w:p>
    <w:p w14:paraId="39F93A55" w14:textId="4F0A3707" w:rsidR="00F454B1" w:rsidRDefault="00F454B1" w:rsidP="00F454B1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F454B1">
        <w:rPr>
          <w:rFonts w:ascii="Arial" w:hAnsi="Arial" w:cs="Arial"/>
        </w:rPr>
        <w:t>his test, known as intermediate or heightened scrutiny, requires that laws that classify on the basis of sex be substantially related to an important government objective</w:t>
      </w:r>
      <w:r>
        <w:rPr>
          <w:rFonts w:ascii="Arial" w:hAnsi="Arial" w:cs="Arial"/>
        </w:rPr>
        <w:t>.</w:t>
      </w:r>
    </w:p>
    <w:p w14:paraId="3D633ACF" w14:textId="65D354E1" w:rsidR="00F454B1" w:rsidRPr="00F454B1" w:rsidRDefault="00F454B1" w:rsidP="00F454B1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F454B1">
        <w:rPr>
          <w:rFonts w:ascii="Arial" w:hAnsi="Arial" w:cs="Arial"/>
        </w:rPr>
        <w:t>The intermediate scrutiny test</w:t>
      </w:r>
      <w:r>
        <w:rPr>
          <w:rFonts w:ascii="Arial" w:hAnsi="Arial" w:cs="Arial"/>
        </w:rPr>
        <w:t xml:space="preserve"> </w:t>
      </w:r>
      <w:r w:rsidRPr="00F454B1">
        <w:rPr>
          <w:rFonts w:ascii="Arial" w:hAnsi="Arial" w:cs="Arial"/>
        </w:rPr>
        <w:t>was adopted by a narrow margin</w:t>
      </w:r>
      <w:r>
        <w:rPr>
          <w:rFonts w:ascii="Arial" w:hAnsi="Arial" w:cs="Arial"/>
        </w:rPr>
        <w:t xml:space="preserve">, </w:t>
      </w:r>
      <w:r w:rsidRPr="00F454B1">
        <w:rPr>
          <w:rFonts w:ascii="Arial" w:hAnsi="Arial" w:cs="Arial"/>
        </w:rPr>
        <w:t>but the decision fundamentally changed sex discrimination law.</w:t>
      </w:r>
    </w:p>
    <w:p w14:paraId="2C1DCE56" w14:textId="1348A336" w:rsidR="002049CB" w:rsidRDefault="002049CB" w:rsidP="002049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The Court’s Application of Intermediate Scrutiny</w:t>
      </w:r>
    </w:p>
    <w:p w14:paraId="2ED44120" w14:textId="5837A89C" w:rsidR="002049CB" w:rsidRDefault="002049CB" w:rsidP="002049CB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lastRenderedPageBreak/>
        <w:t xml:space="preserve">Gender-Based Classifications the Court Has </w:t>
      </w:r>
      <w:r w:rsidR="003A5E68">
        <w:rPr>
          <w:rFonts w:ascii="Arial" w:hAnsi="Arial" w:cs="Arial"/>
        </w:rPr>
        <w:t>Voided</w:t>
      </w:r>
    </w:p>
    <w:p w14:paraId="11CA3A00" w14:textId="3B889941" w:rsidR="006E099D" w:rsidRDefault="006E099D" w:rsidP="006E099D">
      <w:pPr>
        <w:pStyle w:val="ListParagraph"/>
        <w:numPr>
          <w:ilvl w:val="3"/>
          <w:numId w:val="1"/>
        </w:numPr>
        <w:rPr>
          <w:rFonts w:ascii="Arial" w:hAnsi="Arial" w:cs="Arial"/>
          <w:b/>
          <w:bCs/>
          <w:i/>
          <w:iCs/>
        </w:rPr>
      </w:pPr>
      <w:r w:rsidRPr="006E099D">
        <w:rPr>
          <w:rFonts w:ascii="Arial" w:hAnsi="Arial" w:cs="Arial"/>
          <w:b/>
          <w:bCs/>
          <w:i/>
          <w:iCs/>
        </w:rPr>
        <w:t xml:space="preserve">Mississippi University for Women v. Hogan </w:t>
      </w:r>
      <w:r w:rsidRPr="005B59A6">
        <w:rPr>
          <w:rFonts w:ascii="Arial" w:hAnsi="Arial" w:cs="Arial"/>
          <w:b/>
          <w:bCs/>
        </w:rPr>
        <w:t>(1982)</w:t>
      </w:r>
    </w:p>
    <w:p w14:paraId="0A422C65" w14:textId="2E3AA164" w:rsidR="00F454B1" w:rsidRDefault="00F454B1" w:rsidP="00F454B1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F454B1">
        <w:rPr>
          <w:rFonts w:ascii="Arial" w:hAnsi="Arial" w:cs="Arial"/>
        </w:rPr>
        <w:t>This suit, filed by a male who was denied admission to a nursing program, challenged state-operated single-sex schools.</w:t>
      </w:r>
    </w:p>
    <w:p w14:paraId="0EAB5BCB" w14:textId="13B8D34D" w:rsidR="00F454B1" w:rsidRDefault="00F454B1" w:rsidP="00F454B1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F454B1">
        <w:rPr>
          <w:rFonts w:ascii="Arial" w:hAnsi="Arial" w:cs="Arial"/>
        </w:rPr>
        <w:t>The admissions policies provided an opportunity for Justice O’Connor, the first woman appointed to the Supreme Court, to express her legal views on laws that classify according to sex.</w:t>
      </w:r>
    </w:p>
    <w:p w14:paraId="34D78F33" w14:textId="70D49051" w:rsidR="003A5E68" w:rsidRPr="00F454B1" w:rsidRDefault="003A5E68" w:rsidP="00F454B1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This</w:t>
      </w:r>
      <w:r w:rsidRPr="003A5E68">
        <w:rPr>
          <w:rFonts w:ascii="Arial" w:hAnsi="Arial" w:cs="Arial"/>
        </w:rPr>
        <w:t xml:space="preserve"> decision seemed to settle the matter of government-operated single-sex schools—they violate the Constitution.</w:t>
      </w:r>
    </w:p>
    <w:p w14:paraId="2B9E5883" w14:textId="708783B8" w:rsidR="00840F3B" w:rsidRPr="005B59A6" w:rsidRDefault="00840F3B" w:rsidP="006E099D">
      <w:pPr>
        <w:pStyle w:val="ListParagraph"/>
        <w:numPr>
          <w:ilvl w:val="3"/>
          <w:numId w:val="1"/>
        </w:numPr>
        <w:rPr>
          <w:rFonts w:ascii="Arial" w:hAnsi="Arial" w:cs="Arial"/>
        </w:rPr>
      </w:pPr>
      <w:r w:rsidRPr="00840F3B">
        <w:rPr>
          <w:rFonts w:ascii="Arial" w:hAnsi="Arial" w:cs="Arial"/>
          <w:i/>
          <w:iCs/>
        </w:rPr>
        <w:t xml:space="preserve">United States v. Virginia </w:t>
      </w:r>
      <w:r w:rsidRPr="005B59A6">
        <w:rPr>
          <w:rFonts w:ascii="Arial" w:hAnsi="Arial" w:cs="Arial"/>
        </w:rPr>
        <w:t>(1996)</w:t>
      </w:r>
    </w:p>
    <w:p w14:paraId="79C1B11A" w14:textId="68ED3488" w:rsidR="003A5E68" w:rsidRDefault="003A5E68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s</w:t>
      </w:r>
      <w:r w:rsidRPr="003A5E68">
        <w:rPr>
          <w:rFonts w:ascii="Arial" w:hAnsi="Arial" w:cs="Arial"/>
        </w:rPr>
        <w:t>tate school in Virginia resolutely resisted compliance with Mississippi University for Women.</w:t>
      </w:r>
    </w:p>
    <w:p w14:paraId="33AFCF5C" w14:textId="37FE6D01" w:rsidR="003A5E68" w:rsidRDefault="003A5E68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</w:t>
      </w:r>
      <w:r w:rsidRPr="003A5E68">
        <w:rPr>
          <w:rFonts w:ascii="Arial" w:hAnsi="Arial" w:cs="Arial"/>
        </w:rPr>
        <w:t xml:space="preserve"> asserted that </w:t>
      </w:r>
      <w:r>
        <w:rPr>
          <w:rFonts w:ascii="Arial" w:hAnsi="Arial" w:cs="Arial"/>
        </w:rPr>
        <w:t>its</w:t>
      </w:r>
      <w:r w:rsidRPr="003A5E68">
        <w:rPr>
          <w:rFonts w:ascii="Arial" w:hAnsi="Arial" w:cs="Arial"/>
        </w:rPr>
        <w:t xml:space="preserve"> military nature distinguished them from other colleges and universities and that introducing coeducational instruction would require changes that would alter the nature of the school.</w:t>
      </w:r>
    </w:p>
    <w:p w14:paraId="30BEE7FC" w14:textId="7C077D33" w:rsidR="003A5E68" w:rsidRDefault="003A5E68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3A5E68">
        <w:rPr>
          <w:rFonts w:ascii="Arial" w:hAnsi="Arial" w:cs="Arial"/>
        </w:rPr>
        <w:t>When the case reached the Supreme Court, the Clinton Justice Department asked the Court adopt the suspect class test as the appropriate standard for use in sex discrimination cases.</w:t>
      </w:r>
    </w:p>
    <w:p w14:paraId="771E9F46" w14:textId="18DA977D" w:rsidR="003A5E68" w:rsidRPr="003A5E68" w:rsidRDefault="003A5E68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3A5E68">
        <w:rPr>
          <w:rFonts w:ascii="Arial" w:hAnsi="Arial" w:cs="Arial"/>
        </w:rPr>
        <w:t>Although the Court struck down VMI’s single-sex admissions policy, the justices still did not adopt the strict scrutiny standard for sex discrimination cases.</w:t>
      </w:r>
    </w:p>
    <w:p w14:paraId="3BB3C86C" w14:textId="21A13BEC" w:rsidR="00840F3B" w:rsidRPr="005B59A6" w:rsidRDefault="00840F3B" w:rsidP="006E099D">
      <w:pPr>
        <w:pStyle w:val="ListParagraph"/>
        <w:numPr>
          <w:ilvl w:val="3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Sessions, Attorney General v. Morales-Santana </w:t>
      </w:r>
      <w:r w:rsidRPr="005B59A6">
        <w:rPr>
          <w:rFonts w:ascii="Arial" w:hAnsi="Arial" w:cs="Arial"/>
          <w:b/>
          <w:bCs/>
        </w:rPr>
        <w:t>(2017)</w:t>
      </w:r>
    </w:p>
    <w:p w14:paraId="30E93A08" w14:textId="6D92BC37" w:rsidR="003A5E68" w:rsidRDefault="003A5E68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3A5E68">
        <w:rPr>
          <w:rFonts w:ascii="Arial" w:hAnsi="Arial" w:cs="Arial"/>
        </w:rPr>
        <w:t>This case involv</w:t>
      </w:r>
      <w:r>
        <w:rPr>
          <w:rFonts w:ascii="Arial" w:hAnsi="Arial" w:cs="Arial"/>
        </w:rPr>
        <w:t>ed</w:t>
      </w:r>
      <w:r w:rsidRPr="003A5E68">
        <w:rPr>
          <w:rFonts w:ascii="Arial" w:hAnsi="Arial" w:cs="Arial"/>
        </w:rPr>
        <w:t xml:space="preserve"> a gender-based distinction in the Immigration and Nationality Act.</w:t>
      </w:r>
    </w:p>
    <w:p w14:paraId="3A9957E4" w14:textId="0E07DDFA" w:rsidR="003A5E68" w:rsidRDefault="003A5E68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3A5E68">
        <w:rPr>
          <w:rFonts w:ascii="Arial" w:hAnsi="Arial" w:cs="Arial"/>
        </w:rPr>
        <w:t>Justice Ginsburg’s majority opinion reiterated the now-standard test that the challenged classification serves important governmental objectives and it is substantially related to the achievement of those objectives</w:t>
      </w:r>
      <w:r>
        <w:rPr>
          <w:rFonts w:ascii="Arial" w:hAnsi="Arial" w:cs="Arial"/>
        </w:rPr>
        <w:t>.</w:t>
      </w:r>
    </w:p>
    <w:p w14:paraId="26DF99E2" w14:textId="44064433" w:rsidR="003A5E68" w:rsidRPr="003A5E68" w:rsidRDefault="003A5E68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3A5E68">
        <w:rPr>
          <w:rFonts w:ascii="Arial" w:hAnsi="Arial" w:cs="Arial"/>
        </w:rPr>
        <w:t>Ginsburg also mentioned several times that the government must supply an “exceedingly persuasive justification” when laws differentiate on the basis of gender.</w:t>
      </w:r>
    </w:p>
    <w:p w14:paraId="5F0E835A" w14:textId="4AD1FBD8" w:rsidR="003A5E68" w:rsidRDefault="003A5E68" w:rsidP="006E099D">
      <w:pPr>
        <w:pStyle w:val="ListParagraph"/>
        <w:numPr>
          <w:ilvl w:val="3"/>
          <w:numId w:val="1"/>
        </w:numPr>
        <w:rPr>
          <w:rFonts w:ascii="Arial" w:hAnsi="Arial" w:cs="Arial"/>
          <w:b/>
          <w:bCs/>
          <w:i/>
          <w:iCs/>
        </w:rPr>
      </w:pPr>
      <w:r w:rsidRPr="002049CB">
        <w:rPr>
          <w:rFonts w:ascii="Arial" w:hAnsi="Arial" w:cs="Arial"/>
        </w:rPr>
        <w:t>Gender-Based Classifications the Court Has Upheld</w:t>
      </w:r>
    </w:p>
    <w:p w14:paraId="21162390" w14:textId="2F36A96D" w:rsidR="00840F3B" w:rsidRPr="005B59A6" w:rsidRDefault="00840F3B" w:rsidP="006E099D">
      <w:pPr>
        <w:pStyle w:val="ListParagraph"/>
        <w:numPr>
          <w:ilvl w:val="3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Michael M. v. Superior Court of Sonoma County </w:t>
      </w:r>
      <w:r w:rsidRPr="005B59A6">
        <w:rPr>
          <w:rFonts w:ascii="Arial" w:hAnsi="Arial" w:cs="Arial"/>
          <w:b/>
          <w:bCs/>
        </w:rPr>
        <w:t>(1981)</w:t>
      </w:r>
    </w:p>
    <w:p w14:paraId="6C4A05CB" w14:textId="4530B0D3" w:rsidR="006266D3" w:rsidRDefault="006266D3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266D3">
        <w:rPr>
          <w:rFonts w:ascii="Arial" w:hAnsi="Arial" w:cs="Arial"/>
        </w:rPr>
        <w:t>Michael M. was charged with a violation of Section 261.5 of the California penal code, which prohibits “an act of sexual intercourse accomplished with a female not the wife of the perpetrator, where the female is under the age of 18 years.”</w:t>
      </w:r>
    </w:p>
    <w:p w14:paraId="39C7CFD2" w14:textId="77777777" w:rsidR="006266D3" w:rsidRDefault="006266D3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266D3">
        <w:rPr>
          <w:rFonts w:ascii="Arial" w:hAnsi="Arial" w:cs="Arial"/>
        </w:rPr>
        <w:t>This statutory rape law makes males alone criminally liable for the act of sexual intercourse.</w:t>
      </w:r>
    </w:p>
    <w:p w14:paraId="28D7203B" w14:textId="3BEACD03" w:rsidR="006266D3" w:rsidRDefault="006266D3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266D3">
        <w:rPr>
          <w:rFonts w:ascii="Arial" w:hAnsi="Arial" w:cs="Arial"/>
        </w:rPr>
        <w:lastRenderedPageBreak/>
        <w:t>Michael M. moved to have the criminal prosecution dropped on the grounds that Section 261.5 invidiously discriminates on the basis of sex and therefore violates the equal protection clause.</w:t>
      </w:r>
    </w:p>
    <w:p w14:paraId="0E2D70AC" w14:textId="27C32264" w:rsidR="006266D3" w:rsidRDefault="006266D3" w:rsidP="003A5E68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266D3">
        <w:rPr>
          <w:rFonts w:ascii="Arial" w:hAnsi="Arial" w:cs="Arial"/>
        </w:rPr>
        <w:t>The Supreme Court upheld the law.</w:t>
      </w:r>
    </w:p>
    <w:p w14:paraId="45B23758" w14:textId="1E6E443A" w:rsidR="00840F3B" w:rsidRPr="005B59A6" w:rsidRDefault="00840F3B" w:rsidP="006E099D">
      <w:pPr>
        <w:pStyle w:val="ListParagraph"/>
        <w:numPr>
          <w:ilvl w:val="3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Rostker v. Goldberg </w:t>
      </w:r>
      <w:r w:rsidRPr="005B59A6">
        <w:rPr>
          <w:rFonts w:ascii="Arial" w:hAnsi="Arial" w:cs="Arial"/>
          <w:b/>
          <w:bCs/>
        </w:rPr>
        <w:t>(1981)</w:t>
      </w:r>
    </w:p>
    <w:p w14:paraId="66711D5E" w14:textId="1E4CB22E" w:rsidR="006266D3" w:rsidRDefault="006266D3" w:rsidP="006266D3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266D3">
        <w:rPr>
          <w:rFonts w:ascii="Arial" w:hAnsi="Arial" w:cs="Arial"/>
        </w:rPr>
        <w:t>The federal legislation challenged in this case continued the policy of distinguishing men and women with respect to military service.</w:t>
      </w:r>
    </w:p>
    <w:p w14:paraId="14101E55" w14:textId="0031905E" w:rsidR="006266D3" w:rsidRDefault="006266D3" w:rsidP="006266D3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266D3">
        <w:rPr>
          <w:rFonts w:ascii="Arial" w:hAnsi="Arial" w:cs="Arial"/>
        </w:rPr>
        <w:t>The case also involved Congress’s constitutional power to raise and regulate the armed forces.</w:t>
      </w:r>
    </w:p>
    <w:p w14:paraId="6413F61A" w14:textId="5493208C" w:rsidR="006266D3" w:rsidRDefault="006266D3" w:rsidP="006266D3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6266D3">
        <w:rPr>
          <w:rFonts w:ascii="Arial" w:hAnsi="Arial" w:cs="Arial"/>
        </w:rPr>
        <w:t xml:space="preserve">hree days before </w:t>
      </w:r>
      <w:r>
        <w:rPr>
          <w:rFonts w:ascii="Arial" w:hAnsi="Arial" w:cs="Arial"/>
        </w:rPr>
        <w:t xml:space="preserve">draft </w:t>
      </w:r>
      <w:r w:rsidRPr="006266D3">
        <w:rPr>
          <w:rFonts w:ascii="Arial" w:hAnsi="Arial" w:cs="Arial"/>
        </w:rPr>
        <w:t xml:space="preserve">registration </w:t>
      </w:r>
      <w:r>
        <w:rPr>
          <w:rFonts w:ascii="Arial" w:hAnsi="Arial" w:cs="Arial"/>
        </w:rPr>
        <w:t xml:space="preserve">program </w:t>
      </w:r>
      <w:r w:rsidRPr="006266D3">
        <w:rPr>
          <w:rFonts w:ascii="Arial" w:hAnsi="Arial" w:cs="Arial"/>
        </w:rPr>
        <w:t>was to begin, a federal district court declared the law unconstitutional because its single-sex provisions violated the due process clause of the Fifth Amendment.</w:t>
      </w:r>
    </w:p>
    <w:p w14:paraId="572EA30F" w14:textId="6B865180" w:rsidR="006266D3" w:rsidRPr="006266D3" w:rsidRDefault="006266D3" w:rsidP="006266D3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 w:rsidRPr="006266D3">
        <w:rPr>
          <w:rFonts w:ascii="Arial" w:hAnsi="Arial" w:cs="Arial"/>
        </w:rPr>
        <w:t>The justices upheld the registration law.</w:t>
      </w:r>
    </w:p>
    <w:p w14:paraId="2387DB72" w14:textId="1169AC95" w:rsidR="002049CB" w:rsidRDefault="002049CB" w:rsidP="002049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Discrimination Based on Sexual Orientation</w:t>
      </w:r>
    </w:p>
    <w:p w14:paraId="19DB0F3D" w14:textId="1EDC915F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United States v. Windsor </w:t>
      </w:r>
      <w:r w:rsidRPr="005B59A6">
        <w:rPr>
          <w:rFonts w:ascii="Arial" w:hAnsi="Arial" w:cs="Arial"/>
          <w:b/>
          <w:bCs/>
        </w:rPr>
        <w:t>(2013)</w:t>
      </w:r>
    </w:p>
    <w:p w14:paraId="564824DC" w14:textId="6221F576" w:rsidR="002C7D22" w:rsidRDefault="002C7D22" w:rsidP="002C7D2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This case struck down a</w:t>
      </w:r>
      <w:r w:rsidRPr="002C7D22">
        <w:rPr>
          <w:rFonts w:ascii="Arial" w:hAnsi="Arial" w:cs="Arial"/>
        </w:rPr>
        <w:t xml:space="preserve"> section of the 1996 Defense of Marriage Act denied federal recognition of same-sex marriages even for couples living in states that recognized such unions.</w:t>
      </w:r>
    </w:p>
    <w:p w14:paraId="5B415435" w14:textId="63E46200" w:rsidR="002C7D22" w:rsidRPr="005B59A6" w:rsidRDefault="002C7D22" w:rsidP="002C7D2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C7D22">
        <w:rPr>
          <w:rFonts w:ascii="Arial" w:hAnsi="Arial" w:cs="Arial"/>
          <w:i/>
          <w:iCs/>
        </w:rPr>
        <w:t xml:space="preserve">Bowers v. Hardwick </w:t>
      </w:r>
      <w:r w:rsidRPr="005B59A6">
        <w:rPr>
          <w:rFonts w:ascii="Arial" w:hAnsi="Arial" w:cs="Arial"/>
        </w:rPr>
        <w:t>(1986)</w:t>
      </w:r>
    </w:p>
    <w:p w14:paraId="2B0DBFCD" w14:textId="75667372" w:rsidR="002C7D22" w:rsidRDefault="002C7D22" w:rsidP="002C7D2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2C7D22">
        <w:rPr>
          <w:rFonts w:ascii="Arial" w:hAnsi="Arial" w:cs="Arial"/>
        </w:rPr>
        <w:t>he Court upheld laws against sodomy</w:t>
      </w:r>
      <w:r>
        <w:rPr>
          <w:rFonts w:ascii="Arial" w:hAnsi="Arial" w:cs="Arial"/>
        </w:rPr>
        <w:t>.</w:t>
      </w:r>
    </w:p>
    <w:p w14:paraId="35300353" w14:textId="483FFB6F" w:rsidR="002C7D22" w:rsidRDefault="002C7D22" w:rsidP="002C7D2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2C7D22">
        <w:rPr>
          <w:rFonts w:ascii="Arial" w:hAnsi="Arial" w:cs="Arial"/>
        </w:rPr>
        <w:t xml:space="preserve">In the years since </w:t>
      </w:r>
      <w:r w:rsidRPr="002C7D22">
        <w:rPr>
          <w:rFonts w:ascii="Arial" w:hAnsi="Arial" w:cs="Arial"/>
          <w:i/>
          <w:iCs/>
        </w:rPr>
        <w:t>Bowers</w:t>
      </w:r>
      <w:r w:rsidRPr="002C7D22">
        <w:rPr>
          <w:rFonts w:ascii="Arial" w:hAnsi="Arial" w:cs="Arial"/>
        </w:rPr>
        <w:t>, though, the Court has grown increasingly hostile to laws that classify or otherwise burden on the basis of sexual orientation.</w:t>
      </w:r>
    </w:p>
    <w:p w14:paraId="7F26B14A" w14:textId="32885EF9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40F3B">
        <w:rPr>
          <w:rFonts w:ascii="Arial" w:hAnsi="Arial" w:cs="Arial"/>
          <w:i/>
          <w:iCs/>
        </w:rPr>
        <w:t xml:space="preserve">Romer v. Evans </w:t>
      </w:r>
      <w:r w:rsidRPr="005B59A6">
        <w:rPr>
          <w:rFonts w:ascii="Arial" w:hAnsi="Arial" w:cs="Arial"/>
        </w:rPr>
        <w:t>(1996)</w:t>
      </w:r>
    </w:p>
    <w:p w14:paraId="339266B7" w14:textId="39FF8897" w:rsidR="002C7D22" w:rsidRDefault="002C7D22" w:rsidP="002C7D2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2C7D22">
        <w:rPr>
          <w:rFonts w:ascii="Arial" w:hAnsi="Arial" w:cs="Arial"/>
        </w:rPr>
        <w:t>This case is the most significant interpretation of the equal protection clause as it applies to classifications based on sexual orientation</w:t>
      </w:r>
      <w:r>
        <w:rPr>
          <w:rFonts w:ascii="Arial" w:hAnsi="Arial" w:cs="Arial"/>
        </w:rPr>
        <w:t>.</w:t>
      </w:r>
    </w:p>
    <w:p w14:paraId="5010DA00" w14:textId="1ADBD162" w:rsidR="00A638D3" w:rsidRDefault="00A638D3" w:rsidP="002C7D2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justices distanced themselves from the “strict scrutiny” </w:t>
      </w:r>
      <w:r w:rsidRPr="00A638D3">
        <w:rPr>
          <w:rFonts w:ascii="Arial" w:hAnsi="Arial" w:cs="Arial"/>
        </w:rPr>
        <w:t>approach.</w:t>
      </w:r>
    </w:p>
    <w:p w14:paraId="4EE1B445" w14:textId="77777777" w:rsidR="005B59A6" w:rsidRDefault="00A638D3" w:rsidP="002C7D2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A638D3">
        <w:rPr>
          <w:rFonts w:ascii="Arial" w:hAnsi="Arial" w:cs="Arial"/>
        </w:rPr>
        <w:t>he Court concluded Amendment 2 offends the lowest level of scrutiny (rational basis)</w:t>
      </w:r>
      <w:r w:rsidR="005B59A6">
        <w:rPr>
          <w:rFonts w:ascii="Arial" w:hAnsi="Arial" w:cs="Arial"/>
        </w:rPr>
        <w:t>.</w:t>
      </w:r>
    </w:p>
    <w:p w14:paraId="23C435C3" w14:textId="43CD8D0A" w:rsidR="00795D4D" w:rsidRDefault="005B59A6" w:rsidP="002C7D2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638D3" w:rsidRPr="00A638D3">
        <w:rPr>
          <w:rFonts w:ascii="Arial" w:hAnsi="Arial" w:cs="Arial"/>
        </w:rPr>
        <w:t>he state</w:t>
      </w:r>
      <w:r w:rsidR="00A638D3">
        <w:rPr>
          <w:rFonts w:ascii="Arial" w:hAnsi="Arial" w:cs="Arial"/>
        </w:rPr>
        <w:t xml:space="preserve"> </w:t>
      </w:r>
      <w:r w:rsidR="00A638D3" w:rsidRPr="00A638D3">
        <w:rPr>
          <w:rFonts w:ascii="Arial" w:hAnsi="Arial" w:cs="Arial"/>
        </w:rPr>
        <w:t>singl</w:t>
      </w:r>
      <w:r w:rsidR="00A638D3">
        <w:rPr>
          <w:rFonts w:ascii="Arial" w:hAnsi="Arial" w:cs="Arial"/>
        </w:rPr>
        <w:t>ed</w:t>
      </w:r>
      <w:r w:rsidR="00A638D3" w:rsidRPr="00A638D3">
        <w:rPr>
          <w:rFonts w:ascii="Arial" w:hAnsi="Arial" w:cs="Arial"/>
        </w:rPr>
        <w:t xml:space="preserve"> out sexual orientation for political disability, </w:t>
      </w:r>
      <w:r w:rsidR="00A638D3">
        <w:rPr>
          <w:rFonts w:ascii="Arial" w:hAnsi="Arial" w:cs="Arial"/>
        </w:rPr>
        <w:t>so it</w:t>
      </w:r>
      <w:r w:rsidR="00A638D3" w:rsidRPr="00A638D3">
        <w:rPr>
          <w:rFonts w:ascii="Arial" w:hAnsi="Arial" w:cs="Arial"/>
        </w:rPr>
        <w:t xml:space="preserve"> was driven by animus against gays and lesbians.</w:t>
      </w:r>
    </w:p>
    <w:p w14:paraId="3A3885B9" w14:textId="7AE5334D" w:rsidR="00A638D3" w:rsidRPr="002C7D22" w:rsidRDefault="00A638D3" w:rsidP="002C7D2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Court has not outlined the level of scrutiny classifications on sexual orientation should be subject to.</w:t>
      </w:r>
    </w:p>
    <w:p w14:paraId="16A744B3" w14:textId="60E48642" w:rsidR="002049CB" w:rsidRDefault="002049CB" w:rsidP="002049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Discrimination Based on Economic Status</w:t>
      </w:r>
    </w:p>
    <w:p w14:paraId="5E1C5038" w14:textId="440E514E" w:rsidR="00840F3B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  <w:i/>
          <w:iCs/>
        </w:rPr>
      </w:pPr>
      <w:r w:rsidRPr="00840F3B">
        <w:rPr>
          <w:rFonts w:ascii="Arial" w:hAnsi="Arial" w:cs="Arial"/>
          <w:i/>
          <w:iCs/>
        </w:rPr>
        <w:t>City of New York v. Miln (1837)</w:t>
      </w:r>
    </w:p>
    <w:p w14:paraId="564CDD2B" w14:textId="0D9612CE" w:rsidR="00A638D3" w:rsidRPr="00A638D3" w:rsidRDefault="00A638D3" w:rsidP="00A638D3">
      <w:pPr>
        <w:pStyle w:val="ListParagraph"/>
        <w:numPr>
          <w:ilvl w:val="2"/>
          <w:numId w:val="1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The Court supported the power of the state to take </w:t>
      </w:r>
      <w:r w:rsidRPr="00A638D3">
        <w:rPr>
          <w:rFonts w:ascii="Arial" w:hAnsi="Arial" w:cs="Arial"/>
        </w:rPr>
        <w:t>“precautionary measures against the moral pestilence of paupers.”</w:t>
      </w:r>
    </w:p>
    <w:p w14:paraId="038DCEDE" w14:textId="56F652FD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Shapiro v. Thompson </w:t>
      </w:r>
      <w:r w:rsidRPr="005B59A6">
        <w:rPr>
          <w:rFonts w:ascii="Arial" w:hAnsi="Arial" w:cs="Arial"/>
          <w:b/>
          <w:bCs/>
        </w:rPr>
        <w:t>(1969)</w:t>
      </w:r>
    </w:p>
    <w:p w14:paraId="1CDBA739" w14:textId="1BCB65E7" w:rsidR="00A638D3" w:rsidRDefault="00C933FE" w:rsidP="00A638D3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The Court decided that a rational basis </w:t>
      </w:r>
      <w:r w:rsidRPr="00C933FE">
        <w:rPr>
          <w:rFonts w:ascii="Arial" w:hAnsi="Arial" w:cs="Arial"/>
        </w:rPr>
        <w:t xml:space="preserve">standard normally would be appropriate in cases involving classifications based on wealth, but when a </w:t>
      </w:r>
      <w:r w:rsidRPr="00C933FE">
        <w:rPr>
          <w:rFonts w:ascii="Arial" w:hAnsi="Arial" w:cs="Arial"/>
        </w:rPr>
        <w:lastRenderedPageBreak/>
        <w:t>fundamental right also is involved—here, the right to interstate travel—the standard is elevated.</w:t>
      </w:r>
    </w:p>
    <w:p w14:paraId="68989250" w14:textId="1551C382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Saenz v. Roe </w:t>
      </w:r>
      <w:r w:rsidRPr="005B59A6">
        <w:rPr>
          <w:rFonts w:ascii="Arial" w:hAnsi="Arial" w:cs="Arial"/>
          <w:b/>
          <w:bCs/>
        </w:rPr>
        <w:t>(1999)</w:t>
      </w:r>
    </w:p>
    <w:p w14:paraId="5A0E3D6C" w14:textId="1941633B" w:rsidR="00C933FE" w:rsidRDefault="00C933FE" w:rsidP="00C933FE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The Court reaffirmed </w:t>
      </w:r>
      <w:r w:rsidRPr="00C933FE">
        <w:rPr>
          <w:rFonts w:ascii="Arial" w:hAnsi="Arial" w:cs="Arial"/>
          <w:i/>
        </w:rPr>
        <w:t>Shapiro v. Thompson</w:t>
      </w:r>
      <w:r w:rsidRPr="00C933FE">
        <w:rPr>
          <w:rFonts w:ascii="Arial" w:hAnsi="Arial" w:cs="Arial"/>
        </w:rPr>
        <w:t xml:space="preserve"> by striking down a California law that imposed similar economic disadvantages on new residents who moved into the state.</w:t>
      </w:r>
    </w:p>
    <w:p w14:paraId="760A31D1" w14:textId="0A5EDA52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Harper v. Virginia State Board of Elections </w:t>
      </w:r>
      <w:r w:rsidRPr="005B59A6">
        <w:rPr>
          <w:rFonts w:ascii="Arial" w:hAnsi="Arial" w:cs="Arial"/>
          <w:b/>
          <w:bCs/>
        </w:rPr>
        <w:t>(1966)</w:t>
      </w:r>
    </w:p>
    <w:p w14:paraId="2EBBAF6A" w14:textId="43950305" w:rsidR="00C933FE" w:rsidRDefault="00C933FE" w:rsidP="00C933FE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The Court utilized the same logic to strike down poll taxes as infringing on the fundamental right to vote.</w:t>
      </w:r>
    </w:p>
    <w:p w14:paraId="43300D04" w14:textId="6951FBDD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40F3B">
        <w:rPr>
          <w:rFonts w:ascii="Arial" w:hAnsi="Arial" w:cs="Arial"/>
          <w:i/>
          <w:iCs/>
        </w:rPr>
        <w:t xml:space="preserve">San Antonio Independent School District v. Rodriguez </w:t>
      </w:r>
      <w:r w:rsidRPr="005B59A6">
        <w:rPr>
          <w:rFonts w:ascii="Arial" w:hAnsi="Arial" w:cs="Arial"/>
        </w:rPr>
        <w:t>(1973)</w:t>
      </w:r>
    </w:p>
    <w:p w14:paraId="4627F600" w14:textId="32A65367" w:rsidR="00C933FE" w:rsidRPr="00C933FE" w:rsidRDefault="00C933FE" w:rsidP="00C933FE">
      <w:pPr>
        <w:pStyle w:val="ListParagraph"/>
        <w:numPr>
          <w:ilvl w:val="2"/>
          <w:numId w:val="1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This case outlines that when a fundamental right is not involved, the justices tend to stick with the rational basis standard.</w:t>
      </w:r>
    </w:p>
    <w:p w14:paraId="23E367B8" w14:textId="04F29C92" w:rsidR="00C933FE" w:rsidRPr="00C933FE" w:rsidRDefault="00C933FE" w:rsidP="00C933FE">
      <w:pPr>
        <w:pStyle w:val="ListParagraph"/>
        <w:numPr>
          <w:ilvl w:val="3"/>
          <w:numId w:val="1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This case involved the right of children to receive a public education.</w:t>
      </w:r>
    </w:p>
    <w:p w14:paraId="2D7BCB88" w14:textId="7C22DBB1" w:rsidR="00C933FE" w:rsidRPr="00C933FE" w:rsidRDefault="00C933FE" w:rsidP="00C933FE">
      <w:pPr>
        <w:pStyle w:val="ListParagraph"/>
        <w:numPr>
          <w:ilvl w:val="3"/>
          <w:numId w:val="1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The case questioned the constitutionality of the way Texas funded public schools.</w:t>
      </w:r>
    </w:p>
    <w:p w14:paraId="7D619E4E" w14:textId="1100D9E8" w:rsidR="00C933FE" w:rsidRPr="006F4AE1" w:rsidRDefault="00C933FE" w:rsidP="00C933FE">
      <w:pPr>
        <w:pStyle w:val="ListParagraph"/>
        <w:numPr>
          <w:ilvl w:val="3"/>
          <w:numId w:val="1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The challenged Texas system was similar to schemes used by most states.</w:t>
      </w:r>
    </w:p>
    <w:p w14:paraId="2038B6B3" w14:textId="04E8988E" w:rsidR="006F4AE1" w:rsidRPr="006F4AE1" w:rsidRDefault="006F4AE1" w:rsidP="006F4AE1">
      <w:pPr>
        <w:pStyle w:val="ListParagraph"/>
        <w:numPr>
          <w:ilvl w:val="2"/>
          <w:numId w:val="1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This decision was a blow to civil rights advocates, as validated systems that perpetuated inequity and introduced obstacles for future litigation.</w:t>
      </w:r>
    </w:p>
    <w:p w14:paraId="7D47158F" w14:textId="0EF69705" w:rsidR="006F4AE1" w:rsidRPr="00840F3B" w:rsidRDefault="006F4AE1" w:rsidP="006F4AE1">
      <w:pPr>
        <w:pStyle w:val="ListParagraph"/>
        <w:numPr>
          <w:ilvl w:val="2"/>
          <w:numId w:val="1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The Court also held that education was not a fundamental right under the </w:t>
      </w:r>
      <w:r w:rsidR="00E46C64">
        <w:rPr>
          <w:rFonts w:ascii="Arial" w:hAnsi="Arial" w:cs="Arial"/>
        </w:rPr>
        <w:t>Constitution</w:t>
      </w:r>
      <w:r>
        <w:rPr>
          <w:rFonts w:ascii="Arial" w:hAnsi="Arial" w:cs="Arial"/>
        </w:rPr>
        <w:t>.</w:t>
      </w:r>
    </w:p>
    <w:p w14:paraId="5B67482A" w14:textId="3F095551" w:rsidR="002049CB" w:rsidRDefault="002049CB" w:rsidP="002049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Discrimination against Non-U.S. Citizens</w:t>
      </w:r>
    </w:p>
    <w:p w14:paraId="0852479E" w14:textId="65B168AA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Yick Wo v. Hopkins </w:t>
      </w:r>
      <w:r w:rsidRPr="005B59A6">
        <w:rPr>
          <w:rFonts w:ascii="Arial" w:hAnsi="Arial" w:cs="Arial"/>
          <w:b/>
          <w:bCs/>
        </w:rPr>
        <w:t>(1886)</w:t>
      </w:r>
    </w:p>
    <w:p w14:paraId="515BB81D" w14:textId="740ED17F" w:rsidR="006F4AE1" w:rsidRPr="005B59A6" w:rsidRDefault="006F4AE1" w:rsidP="006F4AE1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In this case, the justices held that a noncitizen was entitled to equal guarantees under the Constitution.</w:t>
      </w:r>
    </w:p>
    <w:p w14:paraId="1777883D" w14:textId="72F8E5F6" w:rsidR="005B59A6" w:rsidRDefault="005B59A6" w:rsidP="006F4AE1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i/>
          <w:iCs/>
        </w:rPr>
      </w:pPr>
      <w:r w:rsidRPr="005B59A6">
        <w:rPr>
          <w:rFonts w:ascii="Arial" w:hAnsi="Arial" w:cs="Arial"/>
        </w:rPr>
        <w:t xml:space="preserve">Since then, the Court has nullified laws that prohibit noncitizens </w:t>
      </w:r>
      <w:r>
        <w:rPr>
          <w:rFonts w:ascii="Arial" w:hAnsi="Arial" w:cs="Arial"/>
        </w:rPr>
        <w:t>from governmental services</w:t>
      </w:r>
      <w:r w:rsidRPr="005B59A6">
        <w:rPr>
          <w:rFonts w:ascii="Arial" w:hAnsi="Arial" w:cs="Arial"/>
        </w:rPr>
        <w:t>.</w:t>
      </w:r>
    </w:p>
    <w:p w14:paraId="4C046E56" w14:textId="1C364D00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840F3B">
        <w:rPr>
          <w:rFonts w:ascii="Arial" w:hAnsi="Arial" w:cs="Arial"/>
          <w:b/>
          <w:bCs/>
          <w:i/>
          <w:iCs/>
        </w:rPr>
        <w:t xml:space="preserve">Graham v. Richardson </w:t>
      </w:r>
      <w:r w:rsidRPr="005B59A6">
        <w:rPr>
          <w:rFonts w:ascii="Arial" w:hAnsi="Arial" w:cs="Arial"/>
          <w:b/>
          <w:bCs/>
        </w:rPr>
        <w:t>(1971)</w:t>
      </w:r>
    </w:p>
    <w:p w14:paraId="364357B3" w14:textId="3BD0A9F0" w:rsidR="006F4AE1" w:rsidRPr="005B59A6" w:rsidRDefault="006F4AE1" w:rsidP="006F4AE1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This case challenged</w:t>
      </w:r>
      <w:r w:rsidR="005B59A6">
        <w:rPr>
          <w:rFonts w:ascii="Arial" w:hAnsi="Arial" w:cs="Arial"/>
        </w:rPr>
        <w:t xml:space="preserve"> the denial of public assistance to a noncitizen.</w:t>
      </w:r>
    </w:p>
    <w:p w14:paraId="562CF36B" w14:textId="1A065497" w:rsidR="005B59A6" w:rsidRPr="005B59A6" w:rsidRDefault="005B59A6" w:rsidP="006F4AE1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The Court accorded suspect class to noncitizens that</w:t>
      </w:r>
      <w:r w:rsidRPr="005B59A6">
        <w:rPr>
          <w:rFonts w:ascii="Arial" w:hAnsi="Arial" w:cs="Arial"/>
        </w:rPr>
        <w:t xml:space="preserve"> lawfully reside in the </w:t>
      </w:r>
      <w:r>
        <w:rPr>
          <w:rFonts w:ascii="Arial" w:hAnsi="Arial" w:cs="Arial"/>
        </w:rPr>
        <w:t>U.S., as they</w:t>
      </w:r>
      <w:r w:rsidRPr="005B59A6">
        <w:rPr>
          <w:rFonts w:ascii="Arial" w:hAnsi="Arial" w:cs="Arial"/>
        </w:rPr>
        <w:t xml:space="preserve"> are politically powerless </w:t>
      </w:r>
      <w:r>
        <w:rPr>
          <w:rFonts w:ascii="Arial" w:hAnsi="Arial" w:cs="Arial"/>
        </w:rPr>
        <w:t>but still</w:t>
      </w:r>
      <w:r w:rsidRPr="005B59A6">
        <w:rPr>
          <w:rFonts w:ascii="Arial" w:hAnsi="Arial" w:cs="Arial"/>
        </w:rPr>
        <w:t xml:space="preserve"> pay taxes, support the economy, serve in the military, and contribute to society</w:t>
      </w:r>
      <w:r>
        <w:rPr>
          <w:rFonts w:ascii="Arial" w:hAnsi="Arial" w:cs="Arial"/>
        </w:rPr>
        <w:t>.</w:t>
      </w:r>
    </w:p>
    <w:p w14:paraId="7B719169" w14:textId="5CC8D513" w:rsidR="005B59A6" w:rsidRPr="005B59A6" w:rsidRDefault="005B59A6" w:rsidP="006F4AE1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The Court has waffled on this ruling.</w:t>
      </w:r>
    </w:p>
    <w:p w14:paraId="4F0DE820" w14:textId="131A4499" w:rsidR="005B59A6" w:rsidRDefault="005B59A6" w:rsidP="005B59A6">
      <w:pPr>
        <w:pStyle w:val="ListParagraph"/>
        <w:numPr>
          <w:ilvl w:val="3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The </w:t>
      </w:r>
      <w:r>
        <w:rPr>
          <w:rFonts w:ascii="Arial" w:hAnsi="Arial" w:cs="Arial"/>
          <w:i/>
          <w:iCs/>
        </w:rPr>
        <w:t xml:space="preserve">Nyquist v. Mauclet </w:t>
      </w:r>
      <w:r>
        <w:rPr>
          <w:rFonts w:ascii="Arial" w:hAnsi="Arial" w:cs="Arial"/>
        </w:rPr>
        <w:t xml:space="preserve">(1977) ruling reiterated </w:t>
      </w:r>
      <w:r>
        <w:rPr>
          <w:rFonts w:ascii="Arial" w:hAnsi="Arial" w:cs="Arial"/>
          <w:i/>
          <w:iCs/>
        </w:rPr>
        <w:t xml:space="preserve">Graham, </w:t>
      </w:r>
      <w:r>
        <w:rPr>
          <w:rFonts w:ascii="Arial" w:hAnsi="Arial" w:cs="Arial"/>
        </w:rPr>
        <w:t>holding state classifications based on alienage are subject to strict scrutiny.</w:t>
      </w:r>
    </w:p>
    <w:p w14:paraId="45C77DD8" w14:textId="1B244293" w:rsidR="00840F3B" w:rsidRPr="005B59A6" w:rsidRDefault="005B59A6" w:rsidP="005B59A6">
      <w:pPr>
        <w:pStyle w:val="ListParagraph"/>
        <w:numPr>
          <w:ilvl w:val="3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In </w:t>
      </w:r>
      <w:r w:rsidR="00840F3B" w:rsidRPr="00840F3B">
        <w:rPr>
          <w:rFonts w:ascii="Arial" w:hAnsi="Arial" w:cs="Arial"/>
          <w:b/>
          <w:bCs/>
          <w:i/>
          <w:iCs/>
        </w:rPr>
        <w:t xml:space="preserve">Foley v. Connelie </w:t>
      </w:r>
      <w:r w:rsidR="00840F3B" w:rsidRPr="005B59A6">
        <w:rPr>
          <w:rFonts w:ascii="Arial" w:hAnsi="Arial" w:cs="Arial"/>
          <w:b/>
          <w:bCs/>
        </w:rPr>
        <w:t>(1978)</w:t>
      </w:r>
      <w:r>
        <w:rPr>
          <w:rFonts w:ascii="Arial" w:hAnsi="Arial" w:cs="Arial"/>
        </w:rPr>
        <w:t>, a divided Court concluded a state’s denial of a noncitizen of a job in law enforcement did not violate the Constitution.</w:t>
      </w:r>
    </w:p>
    <w:p w14:paraId="7438C049" w14:textId="41FC7D11" w:rsidR="00840F3B" w:rsidRPr="005B59A6" w:rsidRDefault="00840F3B" w:rsidP="00840F3B">
      <w:pPr>
        <w:pStyle w:val="ListParagraph"/>
        <w:numPr>
          <w:ilvl w:val="1"/>
          <w:numId w:val="1"/>
        </w:numPr>
        <w:rPr>
          <w:rFonts w:ascii="Arial" w:hAnsi="Arial" w:cs="Arial"/>
          <w:i/>
          <w:iCs/>
        </w:rPr>
      </w:pPr>
      <w:r w:rsidRPr="00840F3B">
        <w:rPr>
          <w:rFonts w:ascii="Arial" w:hAnsi="Arial" w:cs="Arial"/>
          <w:i/>
          <w:iCs/>
        </w:rPr>
        <w:t xml:space="preserve">Plyler v. Doe </w:t>
      </w:r>
      <w:r w:rsidRPr="005B59A6">
        <w:rPr>
          <w:rFonts w:ascii="Arial" w:hAnsi="Arial" w:cs="Arial"/>
        </w:rPr>
        <w:t>(1982)</w:t>
      </w:r>
    </w:p>
    <w:p w14:paraId="70690F9B" w14:textId="0A74E8B5" w:rsidR="005B59A6" w:rsidRPr="00840F3B" w:rsidRDefault="005B59A6" w:rsidP="005B59A6">
      <w:pPr>
        <w:pStyle w:val="ListParagraph"/>
        <w:numPr>
          <w:ilvl w:val="2"/>
          <w:numId w:val="1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The Court ruled children who are noncitizens cannot be denied a free public education.</w:t>
      </w:r>
    </w:p>
    <w:p w14:paraId="5FD71E45" w14:textId="7E4337AD" w:rsidR="002049CB" w:rsidRDefault="002049CB" w:rsidP="002049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049CB">
        <w:rPr>
          <w:rFonts w:ascii="Arial" w:hAnsi="Arial" w:cs="Arial"/>
        </w:rPr>
        <w:t>The Future of Discrimination Law</w:t>
      </w:r>
    </w:p>
    <w:p w14:paraId="7D16848F" w14:textId="3C5068FA" w:rsidR="00E84A2F" w:rsidRDefault="00E84A2F" w:rsidP="00E84A2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Discrimination issues continue to evolve.</w:t>
      </w:r>
    </w:p>
    <w:p w14:paraId="42CF8D3B" w14:textId="11B2B7D4" w:rsidR="00E84A2F" w:rsidRDefault="00E84A2F" w:rsidP="00E84A2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Many discrimination disputes are variations on old themes (e.g., illegal immigration).</w:t>
      </w:r>
    </w:p>
    <w:p w14:paraId="10AE4106" w14:textId="320BAA3B" w:rsidR="00E84A2F" w:rsidRDefault="00E84A2F" w:rsidP="00E84A2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Other issues are new; groups that have recently reached a critical stage begin to bring cases before the Court (e.g., disability).</w:t>
      </w:r>
    </w:p>
    <w:p w14:paraId="63E9C424" w14:textId="6EDB1542" w:rsidR="00E84A2F" w:rsidRPr="00E84A2F" w:rsidRDefault="00E84A2F" w:rsidP="00E84A2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evolution of discrimination law is affected by the ideology of those who occupy the federal judiciary; judicial retirements and appointments take on special significance.</w:t>
      </w:r>
    </w:p>
    <w:sectPr w:rsidR="00E84A2F" w:rsidRPr="00E84A2F" w:rsidSect="006B36F1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2B18D10" w16cex:dateUtc="2024-07-17T14:54:00Z"/>
  <w16cex:commentExtensible w16cex:durableId="04DA3033" w16cex:dateUtc="2024-07-17T14:58:00Z"/>
  <w16cex:commentExtensible w16cex:durableId="651E68E4" w16cex:dateUtc="2024-07-17T15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58DA2" w14:textId="77777777" w:rsidR="002E0323" w:rsidRDefault="002E0323" w:rsidP="00AC6798">
      <w:pPr>
        <w:spacing w:after="0" w:line="240" w:lineRule="auto"/>
      </w:pPr>
      <w:r>
        <w:separator/>
      </w:r>
    </w:p>
  </w:endnote>
  <w:endnote w:type="continuationSeparator" w:id="0">
    <w:p w14:paraId="3E03DB96" w14:textId="77777777" w:rsidR="002E0323" w:rsidRDefault="002E0323" w:rsidP="00AC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62482" w14:textId="77777777" w:rsidR="002E0323" w:rsidRDefault="002E0323" w:rsidP="00AC6798">
      <w:pPr>
        <w:spacing w:after="0" w:line="240" w:lineRule="auto"/>
      </w:pPr>
      <w:r>
        <w:separator/>
      </w:r>
    </w:p>
  </w:footnote>
  <w:footnote w:type="continuationSeparator" w:id="0">
    <w:p w14:paraId="39556918" w14:textId="77777777" w:rsidR="002E0323" w:rsidRDefault="002E0323" w:rsidP="00AC6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91ABD" w14:textId="5AF53726" w:rsidR="00705800" w:rsidRPr="00857730" w:rsidRDefault="0028082F" w:rsidP="00705800">
    <w:pPr>
      <w:pStyle w:val="Header"/>
      <w:jc w:val="right"/>
      <w:rPr>
        <w:rFonts w:ascii="Arial" w:hAnsi="Arial" w:cs="Arial"/>
        <w:i/>
      </w:rPr>
    </w:pPr>
    <w:r w:rsidRPr="00857730">
      <w:rPr>
        <w:rFonts w:ascii="Arial" w:hAnsi="Arial" w:cs="Arial"/>
        <w:sz w:val="20"/>
      </w:rPr>
      <w:t>Instructor Resource</w:t>
    </w:r>
    <w:r w:rsidR="00CE3ED0" w:rsidRPr="00857730">
      <w:rPr>
        <w:rFonts w:ascii="Arial" w:hAnsi="Arial" w:cs="Arial"/>
        <w:sz w:val="20"/>
      </w:rPr>
      <w:br/>
    </w:r>
    <w:r w:rsidR="00857730" w:rsidRPr="00857730">
      <w:rPr>
        <w:rFonts w:ascii="Arial" w:hAnsi="Arial" w:cs="Arial"/>
      </w:rPr>
      <w:t>Epstein</w:t>
    </w:r>
    <w:r w:rsidR="00705800" w:rsidRPr="00857730">
      <w:rPr>
        <w:rFonts w:ascii="Arial" w:hAnsi="Arial" w:cs="Arial"/>
      </w:rPr>
      <w:t xml:space="preserve">, </w:t>
    </w:r>
    <w:r w:rsidR="00857730" w:rsidRPr="00857730">
      <w:rPr>
        <w:rFonts w:ascii="Arial" w:hAnsi="Arial" w:cs="Arial"/>
        <w:i/>
      </w:rPr>
      <w:t>Constitutional Law for a Changing America</w:t>
    </w:r>
    <w:r w:rsidR="00705800" w:rsidRPr="00857730">
      <w:rPr>
        <w:rFonts w:ascii="Arial" w:hAnsi="Arial" w:cs="Arial"/>
        <w:i/>
      </w:rPr>
      <w:t xml:space="preserve">, </w:t>
    </w:r>
    <w:r w:rsidR="00857730" w:rsidRPr="00857730">
      <w:rPr>
        <w:rFonts w:ascii="Arial" w:hAnsi="Arial" w:cs="Arial"/>
        <w:i/>
      </w:rPr>
      <w:t>12e</w:t>
    </w:r>
  </w:p>
  <w:p w14:paraId="5CBC2C81" w14:textId="2EACF95B" w:rsidR="0028082F" w:rsidRPr="00857730" w:rsidRDefault="00705800" w:rsidP="00705800">
    <w:pPr>
      <w:pStyle w:val="Header"/>
      <w:jc w:val="right"/>
      <w:rPr>
        <w:rFonts w:ascii="Arial" w:hAnsi="Arial" w:cs="Arial"/>
        <w:sz w:val="20"/>
      </w:rPr>
    </w:pPr>
    <w:r w:rsidRPr="00857730">
      <w:rPr>
        <w:rFonts w:ascii="Arial" w:hAnsi="Arial" w:cs="Arial"/>
      </w:rPr>
      <w:t>SAGE Publishing, 202</w:t>
    </w:r>
    <w:r w:rsidR="00857730" w:rsidRPr="00857730">
      <w:rPr>
        <w:rFonts w:ascii="Arial" w:hAnsi="Arial" w:cs="Arial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F85F" w14:textId="77777777" w:rsidR="00AC6798" w:rsidRPr="00AC6798" w:rsidRDefault="00AC6798" w:rsidP="00AC6798">
    <w:pPr>
      <w:spacing w:after="0" w:line="240" w:lineRule="auto"/>
      <w:rPr>
        <w:b/>
      </w:rPr>
    </w:pPr>
    <w:r w:rsidRPr="00AC6798">
      <w:t>Author Names</w:t>
    </w:r>
    <w:r>
      <w:rPr>
        <w:i/>
      </w:rPr>
      <w:t xml:space="preserve">, </w:t>
    </w:r>
    <w:r w:rsidRPr="00AC6798">
      <w:rPr>
        <w:i/>
      </w:rPr>
      <w:t xml:space="preserve">Book Title, </w:t>
    </w:r>
    <w:r w:rsidRPr="00AC6798">
      <w:t>Edition Number:</w:t>
    </w:r>
    <w:r>
      <w:rPr>
        <w:b/>
      </w:rPr>
      <w:t xml:space="preserve"> </w:t>
    </w:r>
    <w:r w:rsidRPr="00AC6798">
      <w:t>Instructor Resource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F2F7C"/>
    <w:multiLevelType w:val="multilevel"/>
    <w:tmpl w:val="0472D91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i w:val="0"/>
        <w:iCs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  <w:b/>
        <w:i w:val="0"/>
        <w:iCs w:val="0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  <w:b/>
        <w:i w:val="0"/>
        <w:iCs w:val="0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  <w:b/>
        <w:b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D144C12"/>
    <w:multiLevelType w:val="hybridMultilevel"/>
    <w:tmpl w:val="121616BA"/>
    <w:lvl w:ilvl="0" w:tplc="40090019">
      <w:start w:val="1"/>
      <w:numFmt w:val="lowerLetter"/>
      <w:lvlText w:val="%1."/>
      <w:lvlJc w:val="left"/>
      <w:pPr>
        <w:ind w:left="24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1E013C6B"/>
    <w:multiLevelType w:val="multilevel"/>
    <w:tmpl w:val="027A62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  <w:b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Roman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062098B"/>
    <w:multiLevelType w:val="multilevel"/>
    <w:tmpl w:val="58066654"/>
    <w:styleLink w:val="CurrentList4"/>
    <w:lvl w:ilvl="0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4A632A"/>
    <w:multiLevelType w:val="multilevel"/>
    <w:tmpl w:val="39BC37F0"/>
    <w:styleLink w:val="CurrentList3"/>
    <w:lvl w:ilvl="0">
      <w:start w:val="1"/>
      <w:numFmt w:val="decimal"/>
      <w:lvlText w:val="4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D7F79"/>
    <w:multiLevelType w:val="multilevel"/>
    <w:tmpl w:val="28000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3B158D8"/>
    <w:multiLevelType w:val="multilevel"/>
    <w:tmpl w:val="D9204560"/>
    <w:styleLink w:val="CurrentList2"/>
    <w:lvl w:ilvl="0">
      <w:start w:val="1"/>
      <w:numFmt w:val="decimal"/>
      <w:lvlText w:val="4-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AB1F77"/>
    <w:multiLevelType w:val="hybridMultilevel"/>
    <w:tmpl w:val="A7D2A79A"/>
    <w:lvl w:ilvl="0" w:tplc="4009000F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A760514"/>
    <w:multiLevelType w:val="hybridMultilevel"/>
    <w:tmpl w:val="C48019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F1F60"/>
    <w:multiLevelType w:val="multilevel"/>
    <w:tmpl w:val="D1A4097E"/>
    <w:styleLink w:val="CurrentList6"/>
    <w:lvl w:ilvl="0">
      <w:start w:val="1"/>
      <w:numFmt w:val="decimal"/>
      <w:lvlText w:val="8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8441D1"/>
    <w:multiLevelType w:val="hybridMultilevel"/>
    <w:tmpl w:val="7F60152C"/>
    <w:lvl w:ilvl="0" w:tplc="40090019">
      <w:start w:val="1"/>
      <w:numFmt w:val="lowerLetter"/>
      <w:lvlText w:val="%1."/>
      <w:lvlJc w:val="left"/>
      <w:pPr>
        <w:ind w:left="26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" w15:restartNumberingAfterBreak="0">
    <w:nsid w:val="4AD45D27"/>
    <w:multiLevelType w:val="hybridMultilevel"/>
    <w:tmpl w:val="4C36290C"/>
    <w:lvl w:ilvl="0" w:tplc="E22C73C4">
      <w:start w:val="1"/>
      <w:numFmt w:val="decimal"/>
      <w:lvlText w:val="14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BE49AC"/>
    <w:multiLevelType w:val="multilevel"/>
    <w:tmpl w:val="F1E470A8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032DD"/>
    <w:multiLevelType w:val="hybridMultilevel"/>
    <w:tmpl w:val="03701AAA"/>
    <w:lvl w:ilvl="0" w:tplc="4009000F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5D930CAB"/>
    <w:multiLevelType w:val="hybridMultilevel"/>
    <w:tmpl w:val="593A89A6"/>
    <w:lvl w:ilvl="0" w:tplc="40090019">
      <w:start w:val="1"/>
      <w:numFmt w:val="lowerLetter"/>
      <w:lvlText w:val="%1."/>
      <w:lvlJc w:val="left"/>
      <w:pPr>
        <w:ind w:left="24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 w15:restartNumberingAfterBreak="0">
    <w:nsid w:val="6BE16559"/>
    <w:multiLevelType w:val="multilevel"/>
    <w:tmpl w:val="FA147BD4"/>
    <w:styleLink w:val="CurrentList5"/>
    <w:lvl w:ilvl="0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D657FCB"/>
    <w:multiLevelType w:val="hybridMultilevel"/>
    <w:tmpl w:val="C04A7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A17CA"/>
    <w:multiLevelType w:val="multilevel"/>
    <w:tmpl w:val="CB5C3228"/>
    <w:styleLink w:val="CurrentList7"/>
    <w:lvl w:ilvl="0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CD13A1"/>
    <w:multiLevelType w:val="hybridMultilevel"/>
    <w:tmpl w:val="B8D8EF26"/>
    <w:lvl w:ilvl="0" w:tplc="22F462D4">
      <w:start w:val="1"/>
      <w:numFmt w:val="upperLetter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6"/>
  </w:num>
  <w:num w:numId="5">
    <w:abstractNumId w:val="7"/>
  </w:num>
  <w:num w:numId="6">
    <w:abstractNumId w:val="18"/>
  </w:num>
  <w:num w:numId="7">
    <w:abstractNumId w:val="1"/>
  </w:num>
  <w:num w:numId="8">
    <w:abstractNumId w:val="14"/>
  </w:num>
  <w:num w:numId="9">
    <w:abstractNumId w:val="13"/>
  </w:num>
  <w:num w:numId="10">
    <w:abstractNumId w:val="10"/>
  </w:num>
  <w:num w:numId="11">
    <w:abstractNumId w:val="8"/>
  </w:num>
  <w:num w:numId="12">
    <w:abstractNumId w:val="11"/>
  </w:num>
  <w:num w:numId="13">
    <w:abstractNumId w:val="12"/>
  </w:num>
  <w:num w:numId="14">
    <w:abstractNumId w:val="6"/>
  </w:num>
  <w:num w:numId="15">
    <w:abstractNumId w:val="4"/>
  </w:num>
  <w:num w:numId="16">
    <w:abstractNumId w:val="3"/>
  </w:num>
  <w:num w:numId="17">
    <w:abstractNumId w:val="15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798"/>
    <w:rsid w:val="00014C03"/>
    <w:rsid w:val="00030600"/>
    <w:rsid w:val="00033D31"/>
    <w:rsid w:val="00043CB4"/>
    <w:rsid w:val="0004485B"/>
    <w:rsid w:val="00067BD7"/>
    <w:rsid w:val="00087E92"/>
    <w:rsid w:val="000B51AC"/>
    <w:rsid w:val="000C73BA"/>
    <w:rsid w:val="00104875"/>
    <w:rsid w:val="0013263E"/>
    <w:rsid w:val="00132DDF"/>
    <w:rsid w:val="00146F66"/>
    <w:rsid w:val="0019501D"/>
    <w:rsid w:val="001A6506"/>
    <w:rsid w:val="002049CB"/>
    <w:rsid w:val="0022566B"/>
    <w:rsid w:val="0028082F"/>
    <w:rsid w:val="002842B8"/>
    <w:rsid w:val="00296630"/>
    <w:rsid w:val="002C7D22"/>
    <w:rsid w:val="002E0323"/>
    <w:rsid w:val="00302BA1"/>
    <w:rsid w:val="00392B75"/>
    <w:rsid w:val="003A5E68"/>
    <w:rsid w:val="003E4F8E"/>
    <w:rsid w:val="00402EEE"/>
    <w:rsid w:val="00415B0E"/>
    <w:rsid w:val="0049088F"/>
    <w:rsid w:val="0049735A"/>
    <w:rsid w:val="004C441E"/>
    <w:rsid w:val="004E6774"/>
    <w:rsid w:val="00501118"/>
    <w:rsid w:val="00521FEB"/>
    <w:rsid w:val="00590188"/>
    <w:rsid w:val="005B59A6"/>
    <w:rsid w:val="005C52FF"/>
    <w:rsid w:val="00601E26"/>
    <w:rsid w:val="006266D3"/>
    <w:rsid w:val="00647166"/>
    <w:rsid w:val="006A6239"/>
    <w:rsid w:val="006B36F1"/>
    <w:rsid w:val="006D7C30"/>
    <w:rsid w:val="006E099D"/>
    <w:rsid w:val="006F4AE1"/>
    <w:rsid w:val="006F7CCC"/>
    <w:rsid w:val="00705800"/>
    <w:rsid w:val="00764FC6"/>
    <w:rsid w:val="00786291"/>
    <w:rsid w:val="00795D4D"/>
    <w:rsid w:val="00797EB8"/>
    <w:rsid w:val="007D1BD4"/>
    <w:rsid w:val="0080487A"/>
    <w:rsid w:val="00814DAF"/>
    <w:rsid w:val="00840F3B"/>
    <w:rsid w:val="00857730"/>
    <w:rsid w:val="00861359"/>
    <w:rsid w:val="00892854"/>
    <w:rsid w:val="008B0B7C"/>
    <w:rsid w:val="008D10E3"/>
    <w:rsid w:val="008D4382"/>
    <w:rsid w:val="0091256A"/>
    <w:rsid w:val="00947B7A"/>
    <w:rsid w:val="00972B91"/>
    <w:rsid w:val="00985161"/>
    <w:rsid w:val="00A0045D"/>
    <w:rsid w:val="00A00903"/>
    <w:rsid w:val="00A108EA"/>
    <w:rsid w:val="00A12BED"/>
    <w:rsid w:val="00A33D56"/>
    <w:rsid w:val="00A52B39"/>
    <w:rsid w:val="00A638D3"/>
    <w:rsid w:val="00A71DBE"/>
    <w:rsid w:val="00AC6798"/>
    <w:rsid w:val="00AD14CA"/>
    <w:rsid w:val="00AF3200"/>
    <w:rsid w:val="00B25DB6"/>
    <w:rsid w:val="00B41B55"/>
    <w:rsid w:val="00B90027"/>
    <w:rsid w:val="00C22A1D"/>
    <w:rsid w:val="00C4089C"/>
    <w:rsid w:val="00C933FE"/>
    <w:rsid w:val="00C96310"/>
    <w:rsid w:val="00CA0344"/>
    <w:rsid w:val="00CE3ED0"/>
    <w:rsid w:val="00D24B9F"/>
    <w:rsid w:val="00DB6ECD"/>
    <w:rsid w:val="00DD0D71"/>
    <w:rsid w:val="00DD2CD9"/>
    <w:rsid w:val="00DE4AD0"/>
    <w:rsid w:val="00E0583E"/>
    <w:rsid w:val="00E27C4D"/>
    <w:rsid w:val="00E46C64"/>
    <w:rsid w:val="00E630F2"/>
    <w:rsid w:val="00E7666C"/>
    <w:rsid w:val="00E84A2F"/>
    <w:rsid w:val="00E91086"/>
    <w:rsid w:val="00E93FEB"/>
    <w:rsid w:val="00EC285B"/>
    <w:rsid w:val="00ED7CB7"/>
    <w:rsid w:val="00EE7FB4"/>
    <w:rsid w:val="00F00963"/>
    <w:rsid w:val="00F01658"/>
    <w:rsid w:val="00F454B1"/>
    <w:rsid w:val="00F647EA"/>
    <w:rsid w:val="00F8515B"/>
    <w:rsid w:val="00FB2A8D"/>
    <w:rsid w:val="00FD0574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57EC1"/>
  <w15:docId w15:val="{E4DFE4D8-2567-4331-BAE7-41F8DFB6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79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4AD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1E26"/>
    <w:pPr>
      <w:keepNext/>
      <w:keepLines/>
      <w:spacing w:before="200" w:after="0"/>
      <w:outlineLvl w:val="1"/>
    </w:pPr>
    <w:rPr>
      <w:rFonts w:ascii="Arial" w:eastAsiaTheme="majorEastAsia" w:hAnsi="Arial" w:cstheme="majorBidi"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E26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79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C6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C6798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C6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798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E4AD0"/>
    <w:rPr>
      <w:rFonts w:ascii="Arial" w:eastAsiaTheme="majorEastAsia" w:hAnsi="Arial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577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7730"/>
    <w:rPr>
      <w:rFonts w:ascii="Arial" w:eastAsiaTheme="majorEastAsia" w:hAnsi="Arial" w:cstheme="majorBidi"/>
      <w:color w:val="000000" w:themeColor="text1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01E26"/>
    <w:rPr>
      <w:rFonts w:ascii="Arial" w:eastAsiaTheme="majorEastAsia" w:hAnsi="Arial" w:cstheme="majorBidi"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E26"/>
    <w:rPr>
      <w:rFonts w:ascii="Calibri" w:eastAsiaTheme="majorEastAsia" w:hAnsi="Calibri" w:cstheme="majorBidi"/>
      <w:b/>
      <w:szCs w:val="24"/>
    </w:rPr>
  </w:style>
  <w:style w:type="character" w:customStyle="1" w:styleId="Style1">
    <w:name w:val="Style1"/>
    <w:rsid w:val="00705800"/>
    <w:rPr>
      <w:color w:val="FF0000"/>
    </w:rPr>
  </w:style>
  <w:style w:type="table" w:styleId="TableGrid">
    <w:name w:val="Table Grid"/>
    <w:basedOn w:val="TableNormal"/>
    <w:uiPriority w:val="59"/>
    <w:rsid w:val="00861359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2A1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2A1D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857730"/>
    <w:pPr>
      <w:numPr>
        <w:numId w:val="13"/>
      </w:numPr>
    </w:pPr>
  </w:style>
  <w:style w:type="numbering" w:customStyle="1" w:styleId="CurrentList2">
    <w:name w:val="Current List2"/>
    <w:uiPriority w:val="99"/>
    <w:rsid w:val="00857730"/>
    <w:pPr>
      <w:numPr>
        <w:numId w:val="14"/>
      </w:numPr>
    </w:pPr>
  </w:style>
  <w:style w:type="numbering" w:customStyle="1" w:styleId="CurrentList3">
    <w:name w:val="Current List3"/>
    <w:uiPriority w:val="99"/>
    <w:rsid w:val="00857730"/>
    <w:pPr>
      <w:numPr>
        <w:numId w:val="1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415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5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5B0E"/>
    <w:rPr>
      <w:rFonts w:asciiTheme="minorHAnsi" w:eastAsiaTheme="minorEastAsia" w:hAnsiTheme="minorHAnsi" w:cstheme="minorBidi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B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B0E"/>
    <w:rPr>
      <w:rFonts w:asciiTheme="minorHAnsi" w:eastAsiaTheme="minorEastAsia" w:hAnsiTheme="minorHAnsi" w:cstheme="minorBidi"/>
      <w:b/>
      <w:bCs/>
      <w:sz w:val="20"/>
    </w:rPr>
  </w:style>
  <w:style w:type="numbering" w:customStyle="1" w:styleId="CurrentList4">
    <w:name w:val="Current List4"/>
    <w:uiPriority w:val="99"/>
    <w:rsid w:val="0091256A"/>
    <w:pPr>
      <w:numPr>
        <w:numId w:val="16"/>
      </w:numPr>
    </w:pPr>
  </w:style>
  <w:style w:type="numbering" w:customStyle="1" w:styleId="CurrentList5">
    <w:name w:val="Current List5"/>
    <w:uiPriority w:val="99"/>
    <w:rsid w:val="00104875"/>
    <w:pPr>
      <w:numPr>
        <w:numId w:val="17"/>
      </w:numPr>
    </w:pPr>
  </w:style>
  <w:style w:type="numbering" w:customStyle="1" w:styleId="CurrentList6">
    <w:name w:val="Current List6"/>
    <w:uiPriority w:val="99"/>
    <w:rsid w:val="00296630"/>
    <w:pPr>
      <w:numPr>
        <w:numId w:val="18"/>
      </w:numPr>
    </w:pPr>
  </w:style>
  <w:style w:type="numbering" w:customStyle="1" w:styleId="CurrentList7">
    <w:name w:val="Current List7"/>
    <w:uiPriority w:val="99"/>
    <w:rsid w:val="00F8515B"/>
    <w:pPr>
      <w:numPr>
        <w:numId w:val="1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B7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41945E5BBD4CB80E28A47E208707" ma:contentTypeVersion="18" ma:contentTypeDescription="Create a new document." ma:contentTypeScope="" ma:versionID="ff4f873734712185289ea95ac4696c8e">
  <xsd:schema xmlns:xsd="http://www.w3.org/2001/XMLSchema" xmlns:xs="http://www.w3.org/2001/XMLSchema" xmlns:p="http://schemas.microsoft.com/office/2006/metadata/properties" xmlns:ns3="492391da-a53c-4951-8fae-a630032c0268" xmlns:ns4="bdfdb397-52c9-4b2b-ad93-4e7f8e1b6583" targetNamespace="http://schemas.microsoft.com/office/2006/metadata/properties" ma:root="true" ma:fieldsID="2fe7a041e48a4aa2036dec9bdd9b185f" ns3:_="" ns4:_="">
    <xsd:import namespace="492391da-a53c-4951-8fae-a630032c0268"/>
    <xsd:import namespace="bdfdb397-52c9-4b2b-ad93-4e7f8e1b65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2391da-a53c-4951-8fae-a630032c02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db397-52c9-4b2b-ad93-4e7f8e1b65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db397-52c9-4b2b-ad93-4e7f8e1b6583" xsi:nil="true"/>
  </documentManagement>
</p:properties>
</file>

<file path=customXml/itemProps1.xml><?xml version="1.0" encoding="utf-8"?>
<ds:datastoreItem xmlns:ds="http://schemas.openxmlformats.org/officeDocument/2006/customXml" ds:itemID="{128C283A-199A-40D7-90BF-52DA8744B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2391da-a53c-4951-8fae-a630032c0268"/>
    <ds:schemaRef ds:uri="bdfdb397-52c9-4b2b-ad93-4e7f8e1b65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B3BCC0-CF00-4DFE-8FAA-5F47E64FC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2EADEB-9EEB-487E-BB10-4B37A77BD362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bdfdb397-52c9-4b2b-ad93-4e7f8e1b6583"/>
    <ds:schemaRef ds:uri="http://schemas.microsoft.com/office/infopath/2007/PartnerControls"/>
    <ds:schemaRef ds:uri="http://schemas.openxmlformats.org/package/2006/metadata/core-properties"/>
    <ds:schemaRef ds:uri="492391da-a53c-4951-8fae-a630032c02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2279</Words>
  <Characters>12991</Characters>
  <Application>Microsoft Office Word</Application>
  <DocSecurity>4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Epstein 12e Chapter 14 Lecture Notes</vt:lpstr>
    </vt:vector>
  </TitlesOfParts>
  <Manager/>
  <Company>Sage Publications</Company>
  <LinksUpToDate>false</LinksUpToDate>
  <CharactersWithSpaces>15240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Epstein 12e Chapter 14 Lecture Notes</dc:title>
  <dc:subject/>
  <dc:creator>Bierach, Katie</dc:creator>
  <cp:keywords/>
  <dc:description/>
  <cp:lastModifiedBy>GWPS</cp:lastModifiedBy>
  <cp:revision>2</cp:revision>
  <dcterms:created xsi:type="dcterms:W3CDTF">2024-10-01T14:04:00Z</dcterms:created>
  <dcterms:modified xsi:type="dcterms:W3CDTF">2024-10-01T14:04:00Z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0x010100FBAE41945E5BBD4CB80E28A47E208707</vt:lpwstr>
  </property>
</Properties>
</file>