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E37C" w14:textId="77777777" w:rsidR="00B5282D" w:rsidRPr="00136408" w:rsidRDefault="00B5282D" w:rsidP="00B5282D">
      <w:pPr>
        <w:pStyle w:val="TN"/>
        <w:rPr>
          <w:rFonts w:cs="Times New Roman"/>
          <w:b/>
          <w:szCs w:val="24"/>
          <w:lang w:val="en-GB"/>
        </w:rPr>
      </w:pPr>
      <w:r w:rsidRPr="00136408">
        <w:rPr>
          <w:rFonts w:cs="Times New Roman"/>
          <w:b/>
          <w:szCs w:val="24"/>
          <w:lang w:val="en-GB"/>
        </w:rPr>
        <w:t>Table 2.2</w:t>
      </w:r>
    </w:p>
    <w:p w14:paraId="2661D64D" w14:textId="77777777" w:rsidR="00B5282D" w:rsidRPr="00136408" w:rsidRDefault="00B5282D" w:rsidP="00B5282D">
      <w:pPr>
        <w:pStyle w:val="TC"/>
        <w:rPr>
          <w:rFonts w:cs="Times New Roman"/>
          <w:szCs w:val="24"/>
          <w:lang w:val="en-GB"/>
        </w:rPr>
      </w:pPr>
      <w:r w:rsidRPr="00136408">
        <w:rPr>
          <w:rFonts w:cs="Times New Roman"/>
          <w:szCs w:val="24"/>
          <w:lang w:val="en-GB"/>
        </w:rPr>
        <w:t xml:space="preserve">Form for the </w:t>
      </w:r>
      <w:r w:rsidRPr="00136408">
        <w:rPr>
          <w:rFonts w:cs="Times New Roman"/>
          <w:i/>
          <w:szCs w:val="24"/>
          <w:lang w:val="en-GB"/>
        </w:rPr>
        <w:t>Statutory Framework</w:t>
      </w:r>
      <w:r w:rsidRPr="00136408">
        <w:rPr>
          <w:rFonts w:cs="Times New Roman"/>
          <w:szCs w:val="24"/>
          <w:lang w:val="en-GB"/>
        </w:rPr>
        <w:t xml:space="preserve"> – Section 2: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2"/>
        <w:gridCol w:w="1649"/>
        <w:gridCol w:w="1562"/>
        <w:gridCol w:w="1383"/>
      </w:tblGrid>
      <w:tr w:rsidR="00B5282D" w:rsidRPr="00136408" w14:paraId="5B041F9E" w14:textId="77777777" w:rsidTr="002957D5">
        <w:tc>
          <w:tcPr>
            <w:tcW w:w="2452" w:type="pct"/>
          </w:tcPr>
          <w:p w14:paraId="1267220A" w14:textId="77777777" w:rsidR="00B5282D" w:rsidRPr="00136408" w:rsidRDefault="00B5282D" w:rsidP="002957D5">
            <w:pPr>
              <w:pStyle w:val="TCH"/>
              <w:rPr>
                <w:b/>
                <w:lang w:val="en-GB"/>
              </w:rPr>
            </w:pPr>
            <w:r w:rsidRPr="00136408">
              <w:rPr>
                <w:b/>
                <w:lang w:val="en-GB"/>
              </w:rPr>
              <w:t>Key issue</w:t>
            </w:r>
          </w:p>
        </w:tc>
        <w:tc>
          <w:tcPr>
            <w:tcW w:w="914" w:type="pct"/>
          </w:tcPr>
          <w:p w14:paraId="199199D9" w14:textId="77777777" w:rsidR="00B5282D" w:rsidRPr="00136408" w:rsidRDefault="00B5282D" w:rsidP="002957D5">
            <w:pPr>
              <w:pStyle w:val="TCH"/>
              <w:rPr>
                <w:b/>
                <w:lang w:val="en-GB"/>
              </w:rPr>
            </w:pPr>
            <w:r w:rsidRPr="00136408">
              <w:rPr>
                <w:b/>
                <w:lang w:val="en-GB"/>
              </w:rPr>
              <w:t>Securely in place</w:t>
            </w:r>
          </w:p>
        </w:tc>
        <w:tc>
          <w:tcPr>
            <w:tcW w:w="866" w:type="pct"/>
          </w:tcPr>
          <w:p w14:paraId="01C7E6DD" w14:textId="77777777" w:rsidR="00B5282D" w:rsidRPr="00136408" w:rsidRDefault="00B5282D" w:rsidP="002957D5">
            <w:pPr>
              <w:pStyle w:val="TCH"/>
              <w:rPr>
                <w:b/>
                <w:lang w:val="en-GB"/>
              </w:rPr>
            </w:pPr>
            <w:r w:rsidRPr="00136408">
              <w:rPr>
                <w:b/>
                <w:lang w:val="en-GB"/>
              </w:rPr>
              <w:t>Mostly in place</w:t>
            </w:r>
          </w:p>
        </w:tc>
        <w:tc>
          <w:tcPr>
            <w:tcW w:w="767" w:type="pct"/>
          </w:tcPr>
          <w:p w14:paraId="6CF05545" w14:textId="77777777" w:rsidR="00B5282D" w:rsidRPr="00136408" w:rsidRDefault="00B5282D" w:rsidP="002957D5">
            <w:pPr>
              <w:pStyle w:val="TCH"/>
              <w:rPr>
                <w:b/>
                <w:lang w:val="en-GB"/>
              </w:rPr>
            </w:pPr>
            <w:r w:rsidRPr="00136408">
              <w:rPr>
                <w:b/>
                <w:lang w:val="en-GB"/>
              </w:rPr>
              <w:t>Not yet in place</w:t>
            </w:r>
          </w:p>
        </w:tc>
      </w:tr>
      <w:tr w:rsidR="00B5282D" w:rsidRPr="00136408" w14:paraId="6B93DA76" w14:textId="77777777" w:rsidTr="002957D5">
        <w:tc>
          <w:tcPr>
            <w:tcW w:w="2452" w:type="pct"/>
          </w:tcPr>
          <w:p w14:paraId="483DE25D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If you have children on roll between the ages of two and three, you review their progress and provide parents with a short, written report (the ‘Progress check at age two’).</w:t>
            </w:r>
          </w:p>
        </w:tc>
        <w:tc>
          <w:tcPr>
            <w:tcW w:w="914" w:type="pct"/>
          </w:tcPr>
          <w:p w14:paraId="0921EE31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66" w:type="pct"/>
          </w:tcPr>
          <w:p w14:paraId="75BB908F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767" w:type="pct"/>
          </w:tcPr>
          <w:p w14:paraId="37A5B815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82D" w:rsidRPr="00136408" w14:paraId="4999A3C3" w14:textId="77777777" w:rsidTr="002957D5">
        <w:tc>
          <w:tcPr>
            <w:tcW w:w="2452" w:type="pct"/>
          </w:tcPr>
          <w:p w14:paraId="2230E318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The ‘Progress check’ focuses particularly on any areas where there is a concern that a child has a developmental delay and how you are intending to address any issues or concerns.</w:t>
            </w:r>
          </w:p>
        </w:tc>
        <w:tc>
          <w:tcPr>
            <w:tcW w:w="914" w:type="pct"/>
          </w:tcPr>
          <w:p w14:paraId="4884DDDE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66" w:type="pct"/>
          </w:tcPr>
          <w:p w14:paraId="2C4078CC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767" w:type="pct"/>
          </w:tcPr>
          <w:p w14:paraId="4066FA35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82D" w:rsidRPr="00136408" w14:paraId="47779688" w14:textId="77777777" w:rsidTr="002957D5">
        <w:trPr>
          <w:trHeight w:val="2148"/>
        </w:trPr>
        <w:tc>
          <w:tcPr>
            <w:tcW w:w="2452" w:type="pct"/>
          </w:tcPr>
          <w:p w14:paraId="262C47E2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If you have reception-aged children, you complete the Early Years Foundation Stage Profile for every child (including those with special educational needs and disabilities).</w:t>
            </w:r>
          </w:p>
          <w:p w14:paraId="0BCE6CFD" w14:textId="77777777" w:rsidR="00B5282D" w:rsidRPr="00136408" w:rsidRDefault="00B5282D" w:rsidP="002957D5">
            <w:pPr>
              <w:pStyle w:val="TB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You share the results with each parent</w:t>
            </w:r>
          </w:p>
          <w:p w14:paraId="0937EF1E" w14:textId="77777777" w:rsidR="00B5282D" w:rsidRPr="00136408" w:rsidRDefault="00B5282D" w:rsidP="002957D5">
            <w:pPr>
              <w:pStyle w:val="TB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You pass the Profile on to the receiving Year 1 teacher together with a short commentary on the Characteristics of Effective Learning.</w:t>
            </w:r>
          </w:p>
        </w:tc>
        <w:tc>
          <w:tcPr>
            <w:tcW w:w="914" w:type="pct"/>
          </w:tcPr>
          <w:p w14:paraId="41DD1722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66" w:type="pct"/>
          </w:tcPr>
          <w:p w14:paraId="59CD46E5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767" w:type="pct"/>
          </w:tcPr>
          <w:p w14:paraId="3325AD56" w14:textId="77777777" w:rsidR="00B5282D" w:rsidRPr="00136408" w:rsidRDefault="00B5282D" w:rsidP="002957D5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82D" w:rsidRPr="00136408" w14:paraId="62F4E3F5" w14:textId="77777777" w:rsidTr="002957D5">
        <w:tc>
          <w:tcPr>
            <w:tcW w:w="2452" w:type="pct"/>
          </w:tcPr>
          <w:p w14:paraId="51D6B486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You report your EYFSP results to the local authority, on request.</w:t>
            </w:r>
          </w:p>
        </w:tc>
        <w:tc>
          <w:tcPr>
            <w:tcW w:w="914" w:type="pct"/>
          </w:tcPr>
          <w:p w14:paraId="34D85FB5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</w:p>
        </w:tc>
        <w:tc>
          <w:tcPr>
            <w:tcW w:w="866" w:type="pct"/>
          </w:tcPr>
          <w:p w14:paraId="6BDC7339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</w:p>
        </w:tc>
        <w:tc>
          <w:tcPr>
            <w:tcW w:w="767" w:type="pct"/>
          </w:tcPr>
          <w:p w14:paraId="033D550F" w14:textId="77777777" w:rsidR="00B5282D" w:rsidRPr="00136408" w:rsidRDefault="00B5282D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</w:tbl>
    <w:p w14:paraId="36348690" w14:textId="181B0AEC" w:rsidR="00B5282D" w:rsidRPr="00136408" w:rsidRDefault="00B5282D" w:rsidP="00B5282D">
      <w:pPr>
        <w:spacing w:after="160" w:line="259" w:lineRule="auto"/>
        <w:rPr>
          <w:rFonts w:eastAsiaTheme="minorHAnsi" w:cs="Times New Roman"/>
          <w:b/>
          <w:color w:val="C00000"/>
          <w:szCs w:val="24"/>
          <w:lang w:val="en-GB"/>
        </w:rPr>
      </w:pPr>
      <w:bookmarkStart w:id="0" w:name="_GoBack"/>
      <w:bookmarkEnd w:id="0"/>
    </w:p>
    <w:p w14:paraId="75263F90" w14:textId="77777777" w:rsidR="006041E2" w:rsidRDefault="006041E2"/>
    <w:sectPr w:rsidR="0060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2F4B"/>
    <w:multiLevelType w:val="hybridMultilevel"/>
    <w:tmpl w:val="316C77B2"/>
    <w:lvl w:ilvl="0" w:tplc="DE16A90A">
      <w:start w:val="1"/>
      <w:numFmt w:val="bullet"/>
      <w:pStyle w:val="T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D"/>
    <w:rsid w:val="00494388"/>
    <w:rsid w:val="00591911"/>
    <w:rsid w:val="005E6EA3"/>
    <w:rsid w:val="006041E2"/>
    <w:rsid w:val="007416FC"/>
    <w:rsid w:val="00B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E64A"/>
  <w15:chartTrackingRefBased/>
  <w15:docId w15:val="{39BC56A2-2DA8-4A34-B3EA-4085CF2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82D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82D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">
    <w:name w:val="TN"/>
    <w:basedOn w:val="Normal"/>
    <w:autoRedefine/>
    <w:qFormat/>
    <w:rsid w:val="00B5282D"/>
    <w:pPr>
      <w:spacing w:before="240"/>
    </w:pPr>
    <w:rPr>
      <w:rFonts w:eastAsiaTheme="minorHAnsi"/>
      <w:color w:val="C00000"/>
    </w:rPr>
  </w:style>
  <w:style w:type="paragraph" w:customStyle="1" w:styleId="TC">
    <w:name w:val="TC"/>
    <w:basedOn w:val="Normal"/>
    <w:autoRedefine/>
    <w:qFormat/>
    <w:rsid w:val="00B5282D"/>
    <w:pPr>
      <w:spacing w:before="120" w:after="120" w:line="480" w:lineRule="auto"/>
      <w:ind w:left="720" w:hanging="720"/>
      <w:contextualSpacing/>
    </w:pPr>
    <w:rPr>
      <w:color w:val="943634"/>
    </w:rPr>
  </w:style>
  <w:style w:type="paragraph" w:customStyle="1" w:styleId="TCH">
    <w:name w:val="TCH"/>
    <w:autoRedefine/>
    <w:qFormat/>
    <w:rsid w:val="00B5282D"/>
    <w:pPr>
      <w:spacing w:after="0" w:line="240" w:lineRule="auto"/>
    </w:pPr>
    <w:rPr>
      <w:rFonts w:ascii="Times New Roman" w:eastAsia="Times New Roman" w:hAnsi="Times New Roman" w:cs="Arial"/>
      <w:color w:val="000000"/>
      <w:spacing w:val="-6"/>
      <w:sz w:val="24"/>
      <w:szCs w:val="24"/>
      <w:lang w:val="en-US"/>
    </w:rPr>
  </w:style>
  <w:style w:type="paragraph" w:customStyle="1" w:styleId="TT">
    <w:name w:val="TT"/>
    <w:basedOn w:val="Normal"/>
    <w:autoRedefine/>
    <w:rsid w:val="00B5282D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eastAsiaTheme="minorHAnsi"/>
      <w:bCs/>
      <w:iCs/>
      <w:color w:val="000000"/>
      <w:w w:val="90"/>
      <w:szCs w:val="24"/>
      <w:shd w:val="clear" w:color="auto" w:fill="FFFFFF"/>
    </w:rPr>
  </w:style>
  <w:style w:type="paragraph" w:customStyle="1" w:styleId="TSN">
    <w:name w:val="TSN"/>
    <w:basedOn w:val="Normal"/>
    <w:autoRedefine/>
    <w:qFormat/>
    <w:rsid w:val="00B5282D"/>
    <w:rPr>
      <w:iCs/>
      <w:color w:val="385623" w:themeColor="accent6" w:themeShade="80"/>
    </w:rPr>
  </w:style>
  <w:style w:type="paragraph" w:customStyle="1" w:styleId="TBL">
    <w:name w:val="TBL"/>
    <w:autoRedefine/>
    <w:qFormat/>
    <w:rsid w:val="00B5282D"/>
    <w:pPr>
      <w:numPr>
        <w:numId w:val="1"/>
      </w:numPr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2020-03-18T09:44:00Z</dcterms:created>
  <dcterms:modified xsi:type="dcterms:W3CDTF">2020-03-18T09:44:00Z</dcterms:modified>
</cp:coreProperties>
</file>