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D0EE" w14:textId="77777777" w:rsidR="00E35C88" w:rsidRPr="00B34518" w:rsidRDefault="00E35C88" w:rsidP="0003322D">
      <w:pPr>
        <w:pStyle w:val="Title"/>
      </w:pPr>
      <w:r w:rsidRPr="00B34518">
        <w:t>Tutorial 1</w:t>
      </w:r>
      <w:r w:rsidRPr="00B34518">
        <w:rPr>
          <w:rStyle w:val="Italic"/>
          <w:rFonts w:cs="Times New Roman"/>
          <w:sz w:val="52"/>
          <w:szCs w:val="52"/>
        </w:rPr>
        <w:t>.</w:t>
      </w:r>
      <w:r w:rsidRPr="00B34518">
        <w:t>1</w:t>
      </w:r>
    </w:p>
    <w:p w14:paraId="1F2DD0EF" w14:textId="77777777" w:rsidR="00E35C88" w:rsidRDefault="00E35C88" w:rsidP="0003322D">
      <w:pPr>
        <w:pStyle w:val="Heading1"/>
      </w:pPr>
      <w:r>
        <w:t>More on Defining “Case Study”</w:t>
      </w:r>
    </w:p>
    <w:p w14:paraId="1F2DD0F0" w14:textId="77777777" w:rsidR="00E35C88" w:rsidRPr="00CB5D04" w:rsidRDefault="00E35C88" w:rsidP="00E35C88">
      <w:pPr>
        <w:pStyle w:val="TutorialText"/>
        <w:spacing w:line="480" w:lineRule="auto"/>
        <w:rPr>
          <w:rFonts w:ascii="Times New Roman" w:hAnsi="Times New Roman" w:cs="Times New Roman"/>
          <w:sz w:val="24"/>
          <w:szCs w:val="24"/>
        </w:rPr>
      </w:pPr>
      <w:r w:rsidRPr="00CB5D04">
        <w:rPr>
          <w:rFonts w:ascii="Times New Roman" w:hAnsi="Times New Roman" w:cs="Times New Roman"/>
          <w:sz w:val="24"/>
          <w:szCs w:val="24"/>
        </w:rPr>
        <w:t xml:space="preserve">In </w:t>
      </w:r>
      <w:r w:rsidRPr="00CB5D04">
        <w:rPr>
          <w:rFonts w:ascii="Times New Roman" w:hAnsi="Times New Roman" w:cs="Times New Roman"/>
          <w:i/>
          <w:sz w:val="24"/>
          <w:szCs w:val="24"/>
        </w:rPr>
        <w:t xml:space="preserve">Case Study Research and Applications </w:t>
      </w:r>
      <w:r w:rsidRPr="00CB5D04">
        <w:rPr>
          <w:rFonts w:ascii="Times New Roman" w:hAnsi="Times New Roman" w:cs="Times New Roman"/>
          <w:sz w:val="24"/>
          <w:szCs w:val="24"/>
        </w:rPr>
        <w:t>(6th ed.), a “case study” means a particular kind of research method. The term parallels those used to refer to other kinds of social science methods, such as an “experiment,” a “survey,” and a “history.” “Case study research” is then the broader mode of inquiry (again, parallel to “experimental research,” “survey research,” and “historical research”), and doing case study research is the topic of the entire book.</w:t>
      </w:r>
    </w:p>
    <w:p w14:paraId="1F2DD0F1" w14:textId="7E93A7D6" w:rsidR="00E35C88" w:rsidRPr="005D6CE1" w:rsidRDefault="00E35C88" w:rsidP="00E35C88">
      <w:pPr>
        <w:pStyle w:val="TutorialTextIndent"/>
        <w:spacing w:line="480" w:lineRule="auto"/>
        <w:rPr>
          <w:rFonts w:ascii="Times New Roman" w:hAnsi="Times New Roman" w:cs="Times New Roman"/>
          <w:sz w:val="24"/>
          <w:szCs w:val="24"/>
        </w:rPr>
      </w:pPr>
      <w:r w:rsidRPr="00CB5D04">
        <w:rPr>
          <w:rFonts w:ascii="Times New Roman" w:hAnsi="Times New Roman" w:cs="Times New Roman"/>
          <w:sz w:val="24"/>
          <w:szCs w:val="24"/>
        </w:rPr>
        <w:t xml:space="preserve">The definition of case study in Chapter 1 of </w:t>
      </w:r>
      <w:r w:rsidRPr="005D6CE1">
        <w:rPr>
          <w:rFonts w:ascii="Times New Roman" w:hAnsi="Times New Roman" w:cs="Times New Roman"/>
          <w:sz w:val="24"/>
          <w:szCs w:val="24"/>
        </w:rPr>
        <w:t>the sixth edition retains the essence stated in the book’s first edition (1984). The definition has two parts:</w:t>
      </w:r>
    </w:p>
    <w:p w14:paraId="1F2DD0F2" w14:textId="6E73CFB7" w:rsidR="00E35C88" w:rsidRDefault="00E35C88" w:rsidP="005D6CE1">
      <w:pPr>
        <w:pStyle w:val="TutorialTextIndent"/>
        <w:spacing w:line="480" w:lineRule="auto"/>
        <w:rPr>
          <w:rFonts w:ascii="Times New Roman" w:hAnsi="Times New Roman" w:cs="Times New Roman"/>
          <w:sz w:val="24"/>
          <w:szCs w:val="24"/>
        </w:rPr>
      </w:pPr>
      <w:r w:rsidRPr="005D6CE1">
        <w:rPr>
          <w:rFonts w:ascii="Times New Roman" w:hAnsi="Times New Roman" w:cs="Times New Roman"/>
          <w:sz w:val="24"/>
          <w:szCs w:val="24"/>
        </w:rPr>
        <w:t xml:space="preserve">(a) </w:t>
      </w:r>
      <w:r w:rsidR="002A3A66">
        <w:rPr>
          <w:rFonts w:ascii="Times New Roman" w:hAnsi="Times New Roman" w:cs="Times New Roman"/>
          <w:i/>
          <w:sz w:val="24"/>
          <w:szCs w:val="24"/>
        </w:rPr>
        <w:t xml:space="preserve">The </w:t>
      </w:r>
      <w:r w:rsidRPr="005D6CE1">
        <w:rPr>
          <w:rFonts w:ascii="Times New Roman" w:hAnsi="Times New Roman" w:cs="Times New Roman"/>
          <w:i/>
          <w:sz w:val="24"/>
          <w:szCs w:val="24"/>
        </w:rPr>
        <w:t>scope of a case study</w:t>
      </w:r>
      <w:r w:rsidRPr="005D6CE1">
        <w:t xml:space="preserve">: </w:t>
      </w:r>
      <w:r w:rsidR="00050F3F" w:rsidRPr="005D6CE1">
        <w:t>I</w:t>
      </w:r>
      <w:r w:rsidRPr="005D6CE1">
        <w:rPr>
          <w:rFonts w:ascii="Times New Roman" w:hAnsi="Times New Roman" w:cs="Times New Roman"/>
          <w:sz w:val="24"/>
          <w:szCs w:val="24"/>
        </w:rPr>
        <w:t xml:space="preserve">nvestigating a contemporary </w:t>
      </w:r>
      <w:r>
        <w:rPr>
          <w:rFonts w:ascii="Times New Roman" w:hAnsi="Times New Roman" w:cs="Times New Roman"/>
          <w:sz w:val="24"/>
          <w:szCs w:val="24"/>
        </w:rPr>
        <w:t>phenomenon (the “case”) in</w:t>
      </w:r>
      <w:r w:rsidR="00E5797D">
        <w:rPr>
          <w:rFonts w:ascii="Times New Roman" w:hAnsi="Times New Roman" w:cs="Times New Roman"/>
          <w:sz w:val="24"/>
          <w:szCs w:val="24"/>
        </w:rPr>
        <w:t xml:space="preserve"> </w:t>
      </w:r>
      <w:r>
        <w:rPr>
          <w:rFonts w:ascii="Times New Roman" w:hAnsi="Times New Roman" w:cs="Times New Roman"/>
          <w:sz w:val="24"/>
          <w:szCs w:val="24"/>
        </w:rPr>
        <w:t>depth and within its real-world context, especially when the boundaries between phenomenon</w:t>
      </w:r>
      <w:r w:rsidR="00050F3F">
        <w:rPr>
          <w:rFonts w:ascii="Times New Roman" w:hAnsi="Times New Roman" w:cs="Times New Roman"/>
          <w:sz w:val="24"/>
          <w:szCs w:val="24"/>
        </w:rPr>
        <w:t xml:space="preserve"> </w:t>
      </w:r>
      <w:r>
        <w:rPr>
          <w:rFonts w:ascii="Times New Roman" w:hAnsi="Times New Roman" w:cs="Times New Roman"/>
          <w:sz w:val="24"/>
          <w:szCs w:val="24"/>
        </w:rPr>
        <w:t>and context may not be clearly evident</w:t>
      </w:r>
      <w:r w:rsidRPr="00CB5D04">
        <w:rPr>
          <w:rFonts w:ascii="Times New Roman" w:hAnsi="Times New Roman" w:cs="Times New Roman"/>
          <w:sz w:val="24"/>
          <w:szCs w:val="24"/>
        </w:rPr>
        <w:t xml:space="preserve"> and</w:t>
      </w:r>
    </w:p>
    <w:p w14:paraId="1F2DD0F3" w14:textId="22205403" w:rsidR="00E35C88" w:rsidRDefault="00E35C88" w:rsidP="00E35C88">
      <w:pPr>
        <w:pStyle w:val="TutorialTextIndent"/>
        <w:spacing w:line="480" w:lineRule="auto"/>
        <w:rPr>
          <w:rFonts w:ascii="Times New Roman" w:hAnsi="Times New Roman" w:cs="Times New Roman"/>
          <w:sz w:val="24"/>
          <w:szCs w:val="24"/>
        </w:rPr>
      </w:pPr>
      <w:r w:rsidRPr="00CB5D04">
        <w:rPr>
          <w:rFonts w:ascii="Times New Roman" w:hAnsi="Times New Roman" w:cs="Times New Roman"/>
          <w:sz w:val="24"/>
          <w:szCs w:val="24"/>
        </w:rPr>
        <w:t xml:space="preserve">(b) </w:t>
      </w:r>
      <w:r w:rsidR="002A3A66">
        <w:rPr>
          <w:rFonts w:ascii="Times New Roman" w:hAnsi="Times New Roman" w:cs="Times New Roman"/>
          <w:i/>
          <w:sz w:val="24"/>
          <w:szCs w:val="24"/>
        </w:rPr>
        <w:t>A case study’s</w:t>
      </w:r>
      <w:r w:rsidRPr="00CB5D04">
        <w:rPr>
          <w:rFonts w:ascii="Times New Roman" w:hAnsi="Times New Roman" w:cs="Times New Roman"/>
          <w:i/>
          <w:sz w:val="24"/>
          <w:szCs w:val="24"/>
        </w:rPr>
        <w:t xml:space="preserve"> features</w:t>
      </w:r>
      <w:r>
        <w:rPr>
          <w:rFonts w:ascii="Times New Roman" w:hAnsi="Times New Roman" w:cs="Times New Roman"/>
          <w:sz w:val="24"/>
          <w:szCs w:val="24"/>
        </w:rPr>
        <w:t xml:space="preserve">: </w:t>
      </w:r>
      <w:r w:rsidR="00050F3F">
        <w:rPr>
          <w:rFonts w:ascii="Times New Roman" w:hAnsi="Times New Roman" w:cs="Times New Roman"/>
          <w:sz w:val="24"/>
          <w:szCs w:val="24"/>
        </w:rPr>
        <w:t>T</w:t>
      </w:r>
      <w:r>
        <w:rPr>
          <w:rFonts w:ascii="Times New Roman" w:hAnsi="Times New Roman" w:cs="Times New Roman"/>
          <w:sz w:val="24"/>
          <w:szCs w:val="24"/>
        </w:rPr>
        <w:t>he situation where there will be many more variables of interest than data</w:t>
      </w:r>
      <w:r w:rsidR="00050F3F">
        <w:rPr>
          <w:rFonts w:ascii="Times New Roman" w:hAnsi="Times New Roman" w:cs="Times New Roman"/>
          <w:sz w:val="24"/>
          <w:szCs w:val="24"/>
        </w:rPr>
        <w:t xml:space="preserve"> </w:t>
      </w:r>
      <w:r>
        <w:rPr>
          <w:rFonts w:ascii="Times New Roman" w:hAnsi="Times New Roman" w:cs="Times New Roman"/>
          <w:sz w:val="24"/>
          <w:szCs w:val="24"/>
        </w:rPr>
        <w:t>points, thereby relying on multiple sources of evidence and benefiting from the development</w:t>
      </w:r>
      <w:r w:rsidR="00050F3F">
        <w:rPr>
          <w:rFonts w:ascii="Times New Roman" w:hAnsi="Times New Roman" w:cs="Times New Roman"/>
          <w:sz w:val="24"/>
          <w:szCs w:val="24"/>
        </w:rPr>
        <w:t xml:space="preserve"> </w:t>
      </w:r>
      <w:r>
        <w:rPr>
          <w:rFonts w:ascii="Times New Roman" w:hAnsi="Times New Roman" w:cs="Times New Roman"/>
          <w:sz w:val="24"/>
          <w:szCs w:val="24"/>
        </w:rPr>
        <w:t>of theoretical propositions to guide data collection and analysis</w:t>
      </w:r>
      <w:r w:rsidRPr="00CB5D04">
        <w:rPr>
          <w:rFonts w:ascii="Times New Roman" w:hAnsi="Times New Roman" w:cs="Times New Roman"/>
          <w:sz w:val="24"/>
          <w:szCs w:val="24"/>
        </w:rPr>
        <w:t>.</w:t>
      </w:r>
    </w:p>
    <w:p w14:paraId="1F2DD0F4" w14:textId="4869E790" w:rsidR="00E35C88" w:rsidRPr="00CB5D04" w:rsidRDefault="00E35C88" w:rsidP="00E35C88">
      <w:pPr>
        <w:pStyle w:val="TutorialTextIndent"/>
        <w:spacing w:line="480" w:lineRule="auto"/>
        <w:rPr>
          <w:rFonts w:ascii="Times New Roman" w:hAnsi="Times New Roman" w:cs="Times New Roman"/>
          <w:sz w:val="24"/>
          <w:szCs w:val="24"/>
        </w:rPr>
      </w:pPr>
      <w:r w:rsidRPr="00CB5D04">
        <w:rPr>
          <w:rFonts w:ascii="Times New Roman" w:hAnsi="Times New Roman" w:cs="Times New Roman"/>
          <w:sz w:val="24"/>
          <w:szCs w:val="24"/>
        </w:rPr>
        <w:t>Communicating a clear definition is difficult. Some reference works (e.g., Abercrombie, Hill, &amp; Turner, 2006; Schwandt, 20</w:t>
      </w:r>
      <w:r>
        <w:rPr>
          <w:rFonts w:ascii="Times New Roman" w:hAnsi="Times New Roman" w:cs="Times New Roman"/>
          <w:sz w:val="24"/>
          <w:szCs w:val="24"/>
        </w:rPr>
        <w:t>15</w:t>
      </w:r>
      <w:r w:rsidRPr="00CB5D04">
        <w:rPr>
          <w:rFonts w:ascii="Times New Roman" w:hAnsi="Times New Roman" w:cs="Times New Roman"/>
          <w:sz w:val="24"/>
          <w:szCs w:val="24"/>
        </w:rPr>
        <w:t xml:space="preserve">) give short but incomplete definitions. Other works may use several pages and </w:t>
      </w:r>
      <w:r w:rsidRPr="00CF04C2">
        <w:rPr>
          <w:rFonts w:ascii="Times New Roman" w:hAnsi="Times New Roman" w:cs="Times New Roman"/>
          <w:sz w:val="24"/>
          <w:szCs w:val="24"/>
        </w:rPr>
        <w:t xml:space="preserve">still not attain clarity (e.g., David, 2006b; Mills, </w:t>
      </w:r>
      <w:proofErr w:type="spellStart"/>
      <w:r w:rsidRPr="00CF04C2">
        <w:rPr>
          <w:rFonts w:ascii="Times New Roman" w:hAnsi="Times New Roman" w:cs="Times New Roman"/>
          <w:sz w:val="24"/>
          <w:szCs w:val="24"/>
        </w:rPr>
        <w:t>Durepos</w:t>
      </w:r>
      <w:proofErr w:type="spellEnd"/>
      <w:r w:rsidRPr="00CF04C2">
        <w:rPr>
          <w:rFonts w:ascii="Times New Roman" w:hAnsi="Times New Roman" w:cs="Times New Roman"/>
          <w:sz w:val="24"/>
          <w:szCs w:val="24"/>
        </w:rPr>
        <w:t xml:space="preserve">, &amp; </w:t>
      </w:r>
      <w:proofErr w:type="spellStart"/>
      <w:r w:rsidRPr="00CF04C2">
        <w:rPr>
          <w:rFonts w:ascii="Times New Roman" w:hAnsi="Times New Roman" w:cs="Times New Roman"/>
          <w:sz w:val="24"/>
          <w:szCs w:val="24"/>
        </w:rPr>
        <w:t>Wiebe</w:t>
      </w:r>
      <w:proofErr w:type="spellEnd"/>
      <w:r w:rsidRPr="00CF04C2">
        <w:rPr>
          <w:rFonts w:ascii="Times New Roman" w:hAnsi="Times New Roman" w:cs="Times New Roman"/>
          <w:sz w:val="24"/>
          <w:szCs w:val="24"/>
        </w:rPr>
        <w:t xml:space="preserve">, 2010b). The </w:t>
      </w:r>
      <w:r w:rsidR="002A3A66">
        <w:rPr>
          <w:rFonts w:ascii="Times New Roman" w:hAnsi="Times New Roman" w:cs="Times New Roman"/>
          <w:sz w:val="24"/>
          <w:szCs w:val="24"/>
        </w:rPr>
        <w:t xml:space="preserve">two-part </w:t>
      </w:r>
      <w:r w:rsidRPr="00CF04C2">
        <w:rPr>
          <w:rFonts w:ascii="Times New Roman" w:hAnsi="Times New Roman" w:cs="Times New Roman"/>
          <w:sz w:val="24"/>
          <w:szCs w:val="24"/>
        </w:rPr>
        <w:t xml:space="preserve">definition can </w:t>
      </w:r>
      <w:r w:rsidR="00050F3F" w:rsidRPr="00CF04C2">
        <w:rPr>
          <w:rFonts w:ascii="Times New Roman" w:hAnsi="Times New Roman" w:cs="Times New Roman"/>
          <w:sz w:val="24"/>
          <w:szCs w:val="24"/>
        </w:rPr>
        <w:t xml:space="preserve">also </w:t>
      </w:r>
      <w:r w:rsidRPr="00CF04C2">
        <w:rPr>
          <w:rFonts w:ascii="Times New Roman" w:hAnsi="Times New Roman" w:cs="Times New Roman"/>
          <w:sz w:val="24"/>
          <w:szCs w:val="24"/>
        </w:rPr>
        <w:t>be enhanced to avoid misinterpretations that have arisen with the earlier editi</w:t>
      </w:r>
      <w:r w:rsidRPr="00CB5D04">
        <w:rPr>
          <w:rFonts w:ascii="Times New Roman" w:hAnsi="Times New Roman" w:cs="Times New Roman"/>
          <w:sz w:val="24"/>
          <w:szCs w:val="24"/>
        </w:rPr>
        <w:t xml:space="preserve">ons of </w:t>
      </w:r>
      <w:r w:rsidRPr="00CB5D04">
        <w:rPr>
          <w:rFonts w:ascii="Times New Roman" w:hAnsi="Times New Roman" w:cs="Times New Roman"/>
          <w:i/>
          <w:sz w:val="24"/>
          <w:szCs w:val="24"/>
        </w:rPr>
        <w:t>Case Study Research and Applications</w:t>
      </w:r>
      <w:r w:rsidRPr="00CB5D04">
        <w:rPr>
          <w:rFonts w:ascii="Times New Roman" w:hAnsi="Times New Roman" w:cs="Times New Roman"/>
          <w:sz w:val="24"/>
          <w:szCs w:val="24"/>
        </w:rPr>
        <w:t>. The enhancements are as follows:</w:t>
      </w:r>
    </w:p>
    <w:p w14:paraId="1F2DD0F5" w14:textId="4D43CD08" w:rsidR="00E35C88" w:rsidRPr="00CB5D04" w:rsidRDefault="00E35C88" w:rsidP="00E35C88">
      <w:pPr>
        <w:pStyle w:val="TutorialNL-One"/>
        <w:spacing w:line="480" w:lineRule="auto"/>
        <w:rPr>
          <w:rFonts w:ascii="Times New Roman" w:hAnsi="Times New Roman" w:cs="Times New Roman"/>
          <w:sz w:val="24"/>
          <w:szCs w:val="24"/>
        </w:rPr>
      </w:pPr>
      <w:r w:rsidRPr="00CB5D04">
        <w:rPr>
          <w:rFonts w:ascii="Times New Roman" w:hAnsi="Times New Roman" w:cs="Times New Roman"/>
          <w:sz w:val="24"/>
          <w:szCs w:val="24"/>
        </w:rPr>
        <w:lastRenderedPageBreak/>
        <w:t>1.</w:t>
      </w:r>
      <w:r w:rsidRPr="00CB5D04">
        <w:rPr>
          <w:rFonts w:ascii="Times New Roman" w:hAnsi="Times New Roman" w:cs="Times New Roman"/>
          <w:sz w:val="24"/>
          <w:szCs w:val="24"/>
        </w:rPr>
        <w:tab/>
        <w:t xml:space="preserve">The lack of sharpness between </w:t>
      </w:r>
      <w:r w:rsidRPr="00CB5D04">
        <w:rPr>
          <w:rStyle w:val="Italic"/>
          <w:rFonts w:cs="Times New Roman"/>
          <w:szCs w:val="24"/>
        </w:rPr>
        <w:t xml:space="preserve">phenomenon </w:t>
      </w:r>
      <w:r w:rsidRPr="00CB5D04">
        <w:rPr>
          <w:rFonts w:ascii="Times New Roman" w:hAnsi="Times New Roman" w:cs="Times New Roman"/>
          <w:sz w:val="24"/>
          <w:szCs w:val="24"/>
        </w:rPr>
        <w:t>and</w:t>
      </w:r>
      <w:r w:rsidRPr="00CB5D04">
        <w:rPr>
          <w:rStyle w:val="Italic"/>
          <w:rFonts w:cs="Times New Roman"/>
          <w:szCs w:val="24"/>
        </w:rPr>
        <w:t xml:space="preserve"> context</w:t>
      </w:r>
      <w:r w:rsidRPr="00CB5D04">
        <w:rPr>
          <w:rFonts w:ascii="Times New Roman" w:hAnsi="Times New Roman" w:cs="Times New Roman"/>
          <w:sz w:val="24"/>
          <w:szCs w:val="24"/>
        </w:rPr>
        <w:t xml:space="preserve"> does not minimize the need to identify a “case” and its singularity as the essential feature of a case study; on the contrary, Chapter 2 (see pp. </w:t>
      </w:r>
      <w:r w:rsidR="002A3A66">
        <w:rPr>
          <w:rFonts w:ascii="Times New Roman" w:hAnsi="Times New Roman" w:cs="Times New Roman"/>
          <w:sz w:val="24"/>
          <w:szCs w:val="24"/>
        </w:rPr>
        <w:t>28-31</w:t>
      </w:r>
      <w:r w:rsidRPr="00CB5D04">
        <w:rPr>
          <w:rFonts w:ascii="Times New Roman" w:hAnsi="Times New Roman" w:cs="Times New Roman"/>
          <w:sz w:val="24"/>
          <w:szCs w:val="24"/>
        </w:rPr>
        <w:t xml:space="preserve">) discusses the challenge of defining the “case” in </w:t>
      </w:r>
      <w:proofErr w:type="gramStart"/>
      <w:r w:rsidRPr="00CB5D04">
        <w:rPr>
          <w:rFonts w:ascii="Times New Roman" w:hAnsi="Times New Roman" w:cs="Times New Roman"/>
          <w:sz w:val="24"/>
          <w:szCs w:val="24"/>
        </w:rPr>
        <w:t>great detail</w:t>
      </w:r>
      <w:proofErr w:type="gramEnd"/>
      <w:r w:rsidRPr="00CB5D04">
        <w:rPr>
          <w:rFonts w:ascii="Times New Roman" w:hAnsi="Times New Roman" w:cs="Times New Roman"/>
          <w:sz w:val="24"/>
          <w:szCs w:val="24"/>
        </w:rPr>
        <w:t>.</w:t>
      </w:r>
    </w:p>
    <w:p w14:paraId="1F2DD0F6" w14:textId="77777777" w:rsidR="00E35C88" w:rsidRPr="00CB5D04" w:rsidRDefault="00E35C88" w:rsidP="00E35C88">
      <w:pPr>
        <w:pStyle w:val="TutorialNL-One"/>
        <w:spacing w:line="480" w:lineRule="auto"/>
        <w:rPr>
          <w:rFonts w:ascii="Times New Roman" w:hAnsi="Times New Roman" w:cs="Times New Roman"/>
          <w:sz w:val="24"/>
          <w:szCs w:val="24"/>
        </w:rPr>
      </w:pPr>
      <w:r w:rsidRPr="00CB5D04">
        <w:rPr>
          <w:rFonts w:ascii="Times New Roman" w:hAnsi="Times New Roman" w:cs="Times New Roman"/>
          <w:sz w:val="24"/>
          <w:szCs w:val="24"/>
        </w:rPr>
        <w:t>2.</w:t>
      </w:r>
      <w:r w:rsidRPr="00CB5D04">
        <w:rPr>
          <w:rFonts w:ascii="Times New Roman" w:hAnsi="Times New Roman" w:cs="Times New Roman"/>
          <w:sz w:val="24"/>
          <w:szCs w:val="24"/>
        </w:rPr>
        <w:tab/>
        <w:t xml:space="preserve">The term </w:t>
      </w:r>
      <w:r w:rsidRPr="00CB5D04">
        <w:rPr>
          <w:rStyle w:val="Italic"/>
          <w:rFonts w:cs="Times New Roman"/>
          <w:szCs w:val="24"/>
        </w:rPr>
        <w:t>in-depth</w:t>
      </w:r>
      <w:r w:rsidRPr="005D6CE1">
        <w:rPr>
          <w:rFonts w:ascii="Times New Roman" w:hAnsi="Times New Roman" w:cs="Times New Roman"/>
          <w:iCs/>
          <w:sz w:val="24"/>
          <w:szCs w:val="24"/>
        </w:rPr>
        <w:t>,</w:t>
      </w:r>
      <w:r w:rsidRPr="00CB5D04">
        <w:rPr>
          <w:rFonts w:ascii="Times New Roman" w:hAnsi="Times New Roman" w:cs="Times New Roman"/>
          <w:sz w:val="24"/>
          <w:szCs w:val="24"/>
        </w:rPr>
        <w:t xml:space="preserve"> especially when studying a </w:t>
      </w:r>
      <w:r w:rsidRPr="00CB5D04">
        <w:rPr>
          <w:rStyle w:val="Italic"/>
          <w:rFonts w:cs="Times New Roman"/>
          <w:szCs w:val="24"/>
        </w:rPr>
        <w:t>contemporary phenomenon</w:t>
      </w:r>
      <w:r w:rsidRPr="005D6CE1">
        <w:rPr>
          <w:rFonts w:ascii="Times New Roman" w:hAnsi="Times New Roman" w:cs="Times New Roman"/>
          <w:iCs/>
          <w:sz w:val="24"/>
          <w:szCs w:val="24"/>
        </w:rPr>
        <w:t>,</w:t>
      </w:r>
      <w:r w:rsidRPr="00CB5D04">
        <w:rPr>
          <w:rFonts w:ascii="Times New Roman" w:hAnsi="Times New Roman" w:cs="Times New Roman"/>
          <w:sz w:val="24"/>
          <w:szCs w:val="24"/>
        </w:rPr>
        <w:t xml:space="preserve"> implies the likely need for some kind o</w:t>
      </w:r>
      <w:r w:rsidRPr="00CF04C2">
        <w:rPr>
          <w:rFonts w:ascii="Times New Roman" w:hAnsi="Times New Roman" w:cs="Times New Roman"/>
          <w:sz w:val="24"/>
          <w:szCs w:val="24"/>
        </w:rPr>
        <w:t>f fieldwork, to get you up close to the case being studied.</w:t>
      </w:r>
    </w:p>
    <w:p w14:paraId="1F2DD0F7" w14:textId="77777777" w:rsidR="00E35C88" w:rsidRPr="00CB5D04" w:rsidRDefault="00E35C88" w:rsidP="00E35C88">
      <w:pPr>
        <w:pStyle w:val="TutorialNL-One"/>
        <w:spacing w:line="480" w:lineRule="auto"/>
        <w:rPr>
          <w:rFonts w:ascii="Times New Roman" w:hAnsi="Times New Roman" w:cs="Times New Roman"/>
          <w:sz w:val="24"/>
          <w:szCs w:val="24"/>
        </w:rPr>
      </w:pPr>
      <w:r w:rsidRPr="00CB5D04">
        <w:rPr>
          <w:rFonts w:ascii="Times New Roman" w:hAnsi="Times New Roman" w:cs="Times New Roman"/>
          <w:sz w:val="24"/>
          <w:szCs w:val="24"/>
        </w:rPr>
        <w:t>3.</w:t>
      </w:r>
      <w:r w:rsidRPr="00CB5D04">
        <w:rPr>
          <w:rFonts w:ascii="Times New Roman" w:hAnsi="Times New Roman" w:cs="Times New Roman"/>
          <w:sz w:val="24"/>
          <w:szCs w:val="24"/>
        </w:rPr>
        <w:tab/>
        <w:t xml:space="preserve">The term </w:t>
      </w:r>
      <w:r w:rsidRPr="00CB5D04">
        <w:rPr>
          <w:rStyle w:val="Italic"/>
          <w:rFonts w:cs="Times New Roman"/>
          <w:szCs w:val="24"/>
        </w:rPr>
        <w:t>contemporary phenomenon</w:t>
      </w:r>
      <w:r w:rsidRPr="00CB5D04">
        <w:rPr>
          <w:rFonts w:ascii="Times New Roman" w:hAnsi="Times New Roman" w:cs="Times New Roman"/>
          <w:sz w:val="24"/>
          <w:szCs w:val="24"/>
        </w:rPr>
        <w:t xml:space="preserve"> embraces a broad notion of studying the present that </w:t>
      </w:r>
      <w:r>
        <w:rPr>
          <w:rFonts w:ascii="Times New Roman" w:hAnsi="Times New Roman" w:cs="Times New Roman"/>
          <w:sz w:val="24"/>
          <w:szCs w:val="24"/>
        </w:rPr>
        <w:t>also includes the re</w:t>
      </w:r>
      <w:r w:rsidRPr="00CB5D04">
        <w:rPr>
          <w:rFonts w:ascii="Times New Roman" w:hAnsi="Times New Roman" w:cs="Times New Roman"/>
          <w:sz w:val="24"/>
          <w:szCs w:val="24"/>
        </w:rPr>
        <w:t xml:space="preserve">cent past—just not </w:t>
      </w:r>
      <w:r>
        <w:rPr>
          <w:rFonts w:ascii="Times New Roman" w:hAnsi="Times New Roman" w:cs="Times New Roman"/>
          <w:sz w:val="24"/>
          <w:szCs w:val="24"/>
        </w:rPr>
        <w:t xml:space="preserve">a study limited entirely to </w:t>
      </w:r>
      <w:r w:rsidRPr="00CB5D04">
        <w:rPr>
          <w:rFonts w:ascii="Times New Roman" w:hAnsi="Times New Roman" w:cs="Times New Roman"/>
          <w:sz w:val="24"/>
          <w:szCs w:val="24"/>
        </w:rPr>
        <w:t xml:space="preserve">those events </w:t>
      </w:r>
      <w:r>
        <w:rPr>
          <w:rFonts w:ascii="Times New Roman" w:hAnsi="Times New Roman" w:cs="Times New Roman"/>
          <w:sz w:val="24"/>
          <w:szCs w:val="24"/>
        </w:rPr>
        <w:t>in</w:t>
      </w:r>
      <w:r w:rsidRPr="00CB5D04">
        <w:rPr>
          <w:rFonts w:ascii="Times New Roman" w:hAnsi="Times New Roman" w:cs="Times New Roman"/>
          <w:sz w:val="24"/>
          <w:szCs w:val="24"/>
        </w:rPr>
        <w:t xml:space="preserve"> the “dead” past, where no direct observations can be made and no people are alive to be interviewed (doing a history would be the relevant method under those conditions).</w:t>
      </w:r>
    </w:p>
    <w:p w14:paraId="1F2DD0F8" w14:textId="0463F5B5" w:rsidR="00E35C88" w:rsidRPr="00CB5D04" w:rsidRDefault="00E35C88" w:rsidP="00E35C88">
      <w:pPr>
        <w:pStyle w:val="TutorialNL-One"/>
        <w:spacing w:line="480" w:lineRule="auto"/>
        <w:rPr>
          <w:rFonts w:ascii="Times New Roman" w:hAnsi="Times New Roman" w:cs="Times New Roman"/>
          <w:sz w:val="24"/>
          <w:szCs w:val="24"/>
        </w:rPr>
      </w:pPr>
      <w:r w:rsidRPr="00CB5D04">
        <w:rPr>
          <w:rFonts w:ascii="Times New Roman" w:hAnsi="Times New Roman" w:cs="Times New Roman"/>
          <w:sz w:val="24"/>
          <w:szCs w:val="24"/>
        </w:rPr>
        <w:t>4.</w:t>
      </w:r>
      <w:r w:rsidRPr="00CB5D04">
        <w:rPr>
          <w:rFonts w:ascii="Times New Roman" w:hAnsi="Times New Roman" w:cs="Times New Roman"/>
          <w:sz w:val="24"/>
          <w:szCs w:val="24"/>
        </w:rPr>
        <w:tab/>
        <w:t xml:space="preserve">Having </w:t>
      </w:r>
      <w:r w:rsidRPr="00CB5D04">
        <w:rPr>
          <w:rStyle w:val="Italic"/>
          <w:rFonts w:cs="Times New Roman"/>
          <w:szCs w:val="24"/>
        </w:rPr>
        <w:t>more variables of interest than data points</w:t>
      </w:r>
      <w:r w:rsidRPr="00CB5D04">
        <w:rPr>
          <w:rFonts w:ascii="Times New Roman" w:hAnsi="Times New Roman" w:cs="Times New Roman"/>
          <w:sz w:val="24"/>
          <w:szCs w:val="24"/>
        </w:rPr>
        <w:t xml:space="preserve"> arises from the complexity of the case and its context</w:t>
      </w:r>
      <w:r w:rsidR="002A3A66" w:rsidRPr="00CB5D04">
        <w:rPr>
          <w:rFonts w:ascii="Times New Roman" w:hAnsi="Times New Roman" w:cs="Times New Roman"/>
          <w:sz w:val="24"/>
          <w:szCs w:val="24"/>
        </w:rPr>
        <w:t>—</w:t>
      </w:r>
      <w:r w:rsidRPr="00CB5D04">
        <w:rPr>
          <w:rFonts w:ascii="Times New Roman" w:hAnsi="Times New Roman" w:cs="Times New Roman"/>
          <w:sz w:val="24"/>
          <w:szCs w:val="24"/>
        </w:rPr>
        <w:t>hence, many variables</w:t>
      </w:r>
      <w:r w:rsidR="002A3A66">
        <w:rPr>
          <w:rFonts w:ascii="Times New Roman" w:hAnsi="Times New Roman" w:cs="Times New Roman"/>
          <w:sz w:val="24"/>
          <w:szCs w:val="24"/>
        </w:rPr>
        <w:t xml:space="preserve"> (</w:t>
      </w:r>
      <w:r w:rsidRPr="00CB5D04">
        <w:rPr>
          <w:rFonts w:ascii="Times New Roman" w:hAnsi="Times New Roman" w:cs="Times New Roman"/>
          <w:sz w:val="24"/>
          <w:szCs w:val="24"/>
        </w:rPr>
        <w:t xml:space="preserve">Appendix A of the sixth edition explains how the multiplicity of variables can arise in psychology case studies), with the case being the only “data point.” The use of this language does not mean that case studies are variable-based; on the contrary, the multiplicity of variables raises doubts about the usefulness of conventional variable-based methods in analyzing case study data, </w:t>
      </w:r>
      <w:r w:rsidR="00AD463B">
        <w:rPr>
          <w:rFonts w:ascii="Times New Roman" w:hAnsi="Times New Roman" w:cs="Times New Roman"/>
          <w:sz w:val="24"/>
          <w:szCs w:val="24"/>
        </w:rPr>
        <w:t xml:space="preserve">thereby </w:t>
      </w:r>
      <w:r w:rsidRPr="00CB5D04">
        <w:rPr>
          <w:rFonts w:ascii="Times New Roman" w:hAnsi="Times New Roman" w:cs="Times New Roman"/>
          <w:sz w:val="24"/>
          <w:szCs w:val="24"/>
        </w:rPr>
        <w:t>favoring holistic approaches.</w:t>
      </w:r>
    </w:p>
    <w:p w14:paraId="1F2DD0F9" w14:textId="6C639C59" w:rsidR="00E35C88" w:rsidRPr="00CB5D04" w:rsidRDefault="00E35C88" w:rsidP="00E35C88">
      <w:pPr>
        <w:pStyle w:val="TutorialTextIndent"/>
        <w:spacing w:line="480" w:lineRule="auto"/>
        <w:rPr>
          <w:rFonts w:ascii="Times New Roman" w:hAnsi="Times New Roman" w:cs="Times New Roman"/>
          <w:sz w:val="24"/>
          <w:szCs w:val="24"/>
        </w:rPr>
      </w:pPr>
      <w:r w:rsidRPr="00CB5D04">
        <w:rPr>
          <w:rFonts w:ascii="Times New Roman" w:hAnsi="Times New Roman" w:cs="Times New Roman"/>
          <w:sz w:val="24"/>
          <w:szCs w:val="24"/>
        </w:rPr>
        <w:t xml:space="preserve">As a final clarification, the sixth edition’s discussion of when to use case study research focuses on its “niche,” compared to other </w:t>
      </w:r>
      <w:r>
        <w:rPr>
          <w:rFonts w:ascii="Times New Roman" w:hAnsi="Times New Roman" w:cs="Times New Roman"/>
          <w:sz w:val="24"/>
          <w:szCs w:val="24"/>
        </w:rPr>
        <w:t xml:space="preserve">modes of </w:t>
      </w:r>
      <w:r w:rsidRPr="00CB5D04">
        <w:rPr>
          <w:rFonts w:ascii="Times New Roman" w:hAnsi="Times New Roman" w:cs="Times New Roman"/>
          <w:sz w:val="24"/>
          <w:szCs w:val="24"/>
        </w:rPr>
        <w:t xml:space="preserve">social science </w:t>
      </w:r>
      <w:r>
        <w:rPr>
          <w:rFonts w:ascii="Times New Roman" w:hAnsi="Times New Roman" w:cs="Times New Roman"/>
          <w:sz w:val="24"/>
          <w:szCs w:val="24"/>
        </w:rPr>
        <w:t>inquiry</w:t>
      </w:r>
      <w:r w:rsidRPr="00CB5D04">
        <w:rPr>
          <w:rFonts w:ascii="Times New Roman" w:hAnsi="Times New Roman" w:cs="Times New Roman"/>
          <w:sz w:val="24"/>
          <w:szCs w:val="24"/>
        </w:rPr>
        <w:t xml:space="preserve">. The discussion was not intended to be used as the definition of “case study.” Similarly, the use of “case study” as a research method differs from other uses of the same term when a “case study” is not necessarily following any explicit research procedures, such as the case studies in the </w:t>
      </w:r>
      <w:r w:rsidRPr="00CB5D04">
        <w:rPr>
          <w:rFonts w:ascii="Times New Roman" w:hAnsi="Times New Roman" w:cs="Times New Roman"/>
          <w:sz w:val="24"/>
          <w:szCs w:val="24"/>
        </w:rPr>
        <w:lastRenderedPageBreak/>
        <w:t>popular literature and media (“popular case studies”) or the case studies in professional training settings (“teaching and practice case studies”)</w:t>
      </w:r>
      <w:r w:rsidR="00AD463B" w:rsidRPr="00CB5D04">
        <w:rPr>
          <w:rFonts w:ascii="Times New Roman" w:hAnsi="Times New Roman" w:cs="Times New Roman"/>
          <w:sz w:val="24"/>
          <w:szCs w:val="24"/>
        </w:rPr>
        <w:t>—</w:t>
      </w:r>
      <w:r w:rsidR="00AD463B">
        <w:rPr>
          <w:rFonts w:ascii="Times New Roman" w:hAnsi="Times New Roman" w:cs="Times New Roman"/>
          <w:sz w:val="24"/>
          <w:szCs w:val="24"/>
        </w:rPr>
        <w:t>see “</w:t>
      </w:r>
      <w:proofErr w:type="spellStart"/>
      <w:r w:rsidR="00AD463B">
        <w:rPr>
          <w:rFonts w:ascii="Times New Roman" w:hAnsi="Times New Roman" w:cs="Times New Roman"/>
          <w:sz w:val="24"/>
          <w:szCs w:val="24"/>
        </w:rPr>
        <w:t>nonresearch</w:t>
      </w:r>
      <w:proofErr w:type="spellEnd"/>
      <w:r w:rsidR="00AD463B">
        <w:rPr>
          <w:rFonts w:ascii="Times New Roman" w:hAnsi="Times New Roman" w:cs="Times New Roman"/>
          <w:sz w:val="24"/>
          <w:szCs w:val="24"/>
        </w:rPr>
        <w:t>” case studies, pp. 18-20, as well as the preface</w:t>
      </w:r>
      <w:r w:rsidRPr="00CB5D04">
        <w:rPr>
          <w:rFonts w:ascii="Times New Roman" w:hAnsi="Times New Roman" w:cs="Times New Roman"/>
          <w:sz w:val="24"/>
          <w:szCs w:val="24"/>
        </w:rPr>
        <w:t>.</w:t>
      </w:r>
    </w:p>
    <w:p w14:paraId="1F2DD0FA" w14:textId="77777777" w:rsidR="00E35C88" w:rsidRPr="00CB5D04" w:rsidRDefault="00E35C88" w:rsidP="0003322D">
      <w:pPr>
        <w:pStyle w:val="Heading1"/>
      </w:pPr>
      <w:bookmarkStart w:id="0" w:name="_GoBack"/>
      <w:r w:rsidRPr="00CB5D04">
        <w:t xml:space="preserve">Briefly </w:t>
      </w:r>
      <w:r w:rsidRPr="0003322D">
        <w:t>Annotated</w:t>
      </w:r>
      <w:r w:rsidRPr="00CB5D04">
        <w:t xml:space="preserve"> References for Tutorial 1.1</w:t>
      </w:r>
    </w:p>
    <w:bookmarkEnd w:id="0"/>
    <w:p w14:paraId="1F2DD0FB" w14:textId="77777777" w:rsidR="00E35C88" w:rsidRPr="00CB5D04" w:rsidRDefault="00E35C88" w:rsidP="00E35C88">
      <w:pPr>
        <w:pStyle w:val="ReferenceText"/>
        <w:spacing w:line="480" w:lineRule="auto"/>
        <w:rPr>
          <w:szCs w:val="24"/>
        </w:rPr>
      </w:pPr>
      <w:r w:rsidRPr="00CB5D04">
        <w:rPr>
          <w:szCs w:val="24"/>
        </w:rPr>
        <w:t xml:space="preserve">Abercrombie, N., Hill, S., &amp; Turner, B. S. (2006). </w:t>
      </w:r>
      <w:r w:rsidRPr="00CB5D04">
        <w:rPr>
          <w:rStyle w:val="Italic"/>
          <w:szCs w:val="24"/>
        </w:rPr>
        <w:t>The Penguin dictionary of sociology</w:t>
      </w:r>
      <w:r w:rsidRPr="00CB5D04">
        <w:rPr>
          <w:szCs w:val="24"/>
        </w:rPr>
        <w:t xml:space="preserve"> (5th ed.). London: Penguin. Presents a pocket dictionary, with references, of terms used in sociology.</w:t>
      </w:r>
    </w:p>
    <w:p w14:paraId="1F2DD0FC" w14:textId="77777777" w:rsidR="00E35C88" w:rsidRPr="00CB5D04" w:rsidRDefault="00E35C88" w:rsidP="00E35C88">
      <w:pPr>
        <w:pStyle w:val="ReferenceText"/>
        <w:spacing w:line="480" w:lineRule="auto"/>
        <w:rPr>
          <w:szCs w:val="24"/>
        </w:rPr>
      </w:pPr>
      <w:r w:rsidRPr="00CB5D04">
        <w:rPr>
          <w:szCs w:val="24"/>
        </w:rPr>
        <w:t xml:space="preserve">David, M. (2006b). Editor’s introduction. In M. David (Ed.), </w:t>
      </w:r>
      <w:r w:rsidRPr="00CB5D04">
        <w:rPr>
          <w:rStyle w:val="Italic"/>
          <w:szCs w:val="24"/>
        </w:rPr>
        <w:t>Case study research</w:t>
      </w:r>
      <w:r w:rsidRPr="00CB5D04">
        <w:rPr>
          <w:szCs w:val="24"/>
        </w:rPr>
        <w:t xml:space="preserve"> (pp. xxiii–xlii). London: Sage. Contains nearly 100 reprints of source materials for case study research.</w:t>
      </w:r>
    </w:p>
    <w:p w14:paraId="1F2DD0FD" w14:textId="77777777" w:rsidR="00E35C88" w:rsidRPr="00CB5D04" w:rsidRDefault="00E35C88" w:rsidP="00E35C88">
      <w:pPr>
        <w:pStyle w:val="ReferenceText"/>
        <w:spacing w:line="480" w:lineRule="auto"/>
        <w:rPr>
          <w:szCs w:val="24"/>
        </w:rPr>
      </w:pPr>
      <w:r w:rsidRPr="00CB5D04">
        <w:rPr>
          <w:szCs w:val="24"/>
        </w:rPr>
        <w:t xml:space="preserve">Mills, A. J., </w:t>
      </w:r>
      <w:proofErr w:type="spellStart"/>
      <w:r w:rsidRPr="00CB5D04">
        <w:rPr>
          <w:szCs w:val="24"/>
        </w:rPr>
        <w:t>Durepos</w:t>
      </w:r>
      <w:proofErr w:type="spellEnd"/>
      <w:r w:rsidRPr="00CB5D04">
        <w:rPr>
          <w:szCs w:val="24"/>
        </w:rPr>
        <w:t xml:space="preserve">, G., &amp; Wiebe, E. (2010b). Introduction. In A. J. Mills, G. </w:t>
      </w:r>
      <w:proofErr w:type="spellStart"/>
      <w:r w:rsidRPr="00CB5D04">
        <w:rPr>
          <w:szCs w:val="24"/>
        </w:rPr>
        <w:t>Durepos</w:t>
      </w:r>
      <w:proofErr w:type="spellEnd"/>
      <w:r w:rsidRPr="00CB5D04">
        <w:rPr>
          <w:szCs w:val="24"/>
        </w:rPr>
        <w:t xml:space="preserve">, &amp; E. Wiebe (Eds.), </w:t>
      </w:r>
      <w:r w:rsidRPr="00CB5D04">
        <w:rPr>
          <w:rStyle w:val="Italic"/>
          <w:szCs w:val="24"/>
        </w:rPr>
        <w:t>Encyclopedia of case study research</w:t>
      </w:r>
      <w:r w:rsidRPr="00CB5D04">
        <w:rPr>
          <w:szCs w:val="24"/>
        </w:rPr>
        <w:t xml:space="preserve"> (pp. xxxi–xxxvi). Thousand Oaks, CA: Sage. Introduces a two-volume encyclopedia devoted to case study research.</w:t>
      </w:r>
    </w:p>
    <w:p w14:paraId="1F2DD0FE" w14:textId="00AB2A14" w:rsidR="00E35C88" w:rsidRDefault="00E35C88" w:rsidP="005B0E97">
      <w:pPr>
        <w:spacing w:line="480" w:lineRule="auto"/>
        <w:ind w:left="720" w:hanging="720"/>
      </w:pPr>
      <w:r w:rsidRPr="00CB5D04">
        <w:t>Schwandt, T. A. (20</w:t>
      </w:r>
      <w:r>
        <w:t>15</w:t>
      </w:r>
      <w:r w:rsidRPr="00CB5D04">
        <w:t xml:space="preserve">). </w:t>
      </w:r>
      <w:r w:rsidRPr="00CB5D04">
        <w:rPr>
          <w:rStyle w:val="Italic"/>
        </w:rPr>
        <w:t>The Sage dictionary of qualitative inquiry</w:t>
      </w:r>
      <w:r w:rsidRPr="00CB5D04">
        <w:t xml:space="preserve"> (3</w:t>
      </w:r>
      <w:r>
        <w:t>th</w:t>
      </w:r>
      <w:r w:rsidRPr="00CB5D04">
        <w:t xml:space="preserve"> ed.). Los Angeles: Sage. Defines terms, with references, used in qualitative research.</w:t>
      </w:r>
    </w:p>
    <w:p w14:paraId="4179F617" w14:textId="77777777" w:rsidR="00B858AB" w:rsidRPr="00CB5D04" w:rsidRDefault="00B858AB" w:rsidP="00E35C88">
      <w:pPr>
        <w:spacing w:line="480" w:lineRule="auto"/>
        <w:ind w:left="1440" w:hanging="1440"/>
      </w:pPr>
    </w:p>
    <w:p w14:paraId="1F2DD0FF"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DD102" w14:textId="77777777" w:rsidR="00F5170C" w:rsidRDefault="00F5170C">
      <w:r>
        <w:separator/>
      </w:r>
    </w:p>
  </w:endnote>
  <w:endnote w:type="continuationSeparator" w:id="0">
    <w:p w14:paraId="1F2DD103" w14:textId="77777777" w:rsidR="00F5170C" w:rsidRDefault="00F5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ySansEF Black">
    <w:panose1 w:val="00000000000000000000"/>
    <w:charset w:val="00"/>
    <w:family w:val="modern"/>
    <w:notTrueType/>
    <w:pitch w:val="variable"/>
    <w:sig w:usb0="800000AF" w:usb1="50002048"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ITC Garamond Std Lt">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D100" w14:textId="77777777" w:rsidR="00F5170C" w:rsidRDefault="00F5170C">
      <w:r>
        <w:separator/>
      </w:r>
    </w:p>
  </w:footnote>
  <w:footnote w:type="continuationSeparator" w:id="0">
    <w:p w14:paraId="1F2DD101" w14:textId="77777777" w:rsidR="00F5170C" w:rsidRDefault="00F5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D105" w14:textId="77777777" w:rsidR="004762E3" w:rsidRPr="005D6CE1" w:rsidRDefault="0003322D" w:rsidP="006E5044">
    <w:pPr>
      <w:tabs>
        <w:tab w:val="center" w:pos="4320"/>
        <w:tab w:val="right" w:pos="8640"/>
      </w:tabs>
      <w:spacing w:after="0"/>
      <w:jc w:val="right"/>
      <w:rPr>
        <w:rFonts w:ascii="Arial" w:hAnsi="Arial" w:cs="Arial"/>
        <w:sz w:val="20"/>
      </w:rPr>
    </w:pPr>
    <w:r w:rsidRPr="005D6CE1">
      <w:rPr>
        <w:rFonts w:ascii="Arial" w:hAnsi="Arial" w:cs="Arial"/>
        <w:sz w:val="20"/>
      </w:rPr>
      <w:t xml:space="preserve">Yin, </w:t>
    </w:r>
    <w:r w:rsidRPr="005D6CE1">
      <w:rPr>
        <w:rFonts w:ascii="Arial" w:hAnsi="Arial" w:cs="Arial"/>
        <w:i/>
        <w:sz w:val="20"/>
      </w:rPr>
      <w:t>Case Study Research and Applications 6e</w:t>
    </w:r>
  </w:p>
  <w:p w14:paraId="1F2DD106" w14:textId="77777777" w:rsidR="0003322D" w:rsidRPr="005D6CE1" w:rsidRDefault="0003322D" w:rsidP="006E5044">
    <w:pPr>
      <w:tabs>
        <w:tab w:val="center" w:pos="4320"/>
        <w:tab w:val="right" w:pos="8640"/>
      </w:tabs>
      <w:spacing w:after="0"/>
      <w:jc w:val="right"/>
      <w:rPr>
        <w:rFonts w:ascii="Arial" w:hAnsi="Arial" w:cs="Arial"/>
        <w:sz w:val="20"/>
      </w:rPr>
    </w:pPr>
    <w:r w:rsidRPr="005D6CE1">
      <w:rPr>
        <w:rFonts w:ascii="Arial" w:hAnsi="Arial" w:cs="Arial"/>
        <w:sz w:val="20"/>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88"/>
    <w:rsid w:val="00012CD2"/>
    <w:rsid w:val="00024CB8"/>
    <w:rsid w:val="0003322D"/>
    <w:rsid w:val="00033437"/>
    <w:rsid w:val="00050F3F"/>
    <w:rsid w:val="000F388C"/>
    <w:rsid w:val="0011713A"/>
    <w:rsid w:val="0017253C"/>
    <w:rsid w:val="00185227"/>
    <w:rsid w:val="001B761C"/>
    <w:rsid w:val="001F7343"/>
    <w:rsid w:val="00227074"/>
    <w:rsid w:val="00272B2E"/>
    <w:rsid w:val="002A3A66"/>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4F3167"/>
    <w:rsid w:val="00500B36"/>
    <w:rsid w:val="0053536D"/>
    <w:rsid w:val="00542CC3"/>
    <w:rsid w:val="005646CF"/>
    <w:rsid w:val="00582851"/>
    <w:rsid w:val="00593132"/>
    <w:rsid w:val="005B0E97"/>
    <w:rsid w:val="005D6CE1"/>
    <w:rsid w:val="00616A17"/>
    <w:rsid w:val="006537C0"/>
    <w:rsid w:val="00661127"/>
    <w:rsid w:val="00664A2F"/>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463B"/>
    <w:rsid w:val="00AD5452"/>
    <w:rsid w:val="00AD5E2E"/>
    <w:rsid w:val="00AE69B9"/>
    <w:rsid w:val="00AF311C"/>
    <w:rsid w:val="00AF4F8B"/>
    <w:rsid w:val="00B164AA"/>
    <w:rsid w:val="00B31FED"/>
    <w:rsid w:val="00B34518"/>
    <w:rsid w:val="00B36615"/>
    <w:rsid w:val="00B42E08"/>
    <w:rsid w:val="00B73564"/>
    <w:rsid w:val="00B858AB"/>
    <w:rsid w:val="00BB0C36"/>
    <w:rsid w:val="00C048E3"/>
    <w:rsid w:val="00C55F1A"/>
    <w:rsid w:val="00C6457F"/>
    <w:rsid w:val="00C8654C"/>
    <w:rsid w:val="00CB2339"/>
    <w:rsid w:val="00CD1179"/>
    <w:rsid w:val="00CE4185"/>
    <w:rsid w:val="00CF04C2"/>
    <w:rsid w:val="00CF39F3"/>
    <w:rsid w:val="00CF5F08"/>
    <w:rsid w:val="00D33536"/>
    <w:rsid w:val="00D37AF2"/>
    <w:rsid w:val="00D46302"/>
    <w:rsid w:val="00D667AA"/>
    <w:rsid w:val="00D8701F"/>
    <w:rsid w:val="00DA246F"/>
    <w:rsid w:val="00E352E1"/>
    <w:rsid w:val="00E35C88"/>
    <w:rsid w:val="00E52712"/>
    <w:rsid w:val="00E5797D"/>
    <w:rsid w:val="00E74418"/>
    <w:rsid w:val="00EA3712"/>
    <w:rsid w:val="00EC67A7"/>
    <w:rsid w:val="00EC6AC2"/>
    <w:rsid w:val="00F4373D"/>
    <w:rsid w:val="00F4419D"/>
    <w:rsid w:val="00F5170C"/>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2DD0EE"/>
  <w15:docId w15:val="{006DC74D-D083-460F-BD51-B86C5EC4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TutorialHead">
    <w:name w:val="Tutorial Head"/>
    <w:basedOn w:val="Normal"/>
    <w:uiPriority w:val="99"/>
    <w:rsid w:val="00E35C88"/>
    <w:pPr>
      <w:tabs>
        <w:tab w:val="left" w:pos="-1440"/>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 w:val="left" w:pos="7056"/>
        <w:tab w:val="left" w:pos="7200"/>
        <w:tab w:val="left" w:pos="7560"/>
        <w:tab w:val="left" w:pos="7920"/>
        <w:tab w:val="left" w:pos="8064"/>
        <w:tab w:val="left" w:pos="8568"/>
        <w:tab w:val="left" w:pos="8640"/>
        <w:tab w:val="left" w:pos="9072"/>
        <w:tab w:val="left" w:pos="9360"/>
        <w:tab w:val="left" w:pos="9576"/>
        <w:tab w:val="left" w:pos="10080"/>
      </w:tabs>
      <w:spacing w:before="480" w:after="240" w:line="256" w:lineRule="auto"/>
      <w:jc w:val="center"/>
    </w:pPr>
    <w:rPr>
      <w:rFonts w:ascii="Calibri" w:eastAsia="Calibri" w:hAnsi="Calibri" w:cs="QuaySansEF Black"/>
      <w:b/>
      <w:sz w:val="30"/>
      <w:szCs w:val="30"/>
    </w:rPr>
  </w:style>
  <w:style w:type="paragraph" w:customStyle="1" w:styleId="TutorialText">
    <w:name w:val="Tutorial Text"/>
    <w:basedOn w:val="Normal"/>
    <w:uiPriority w:val="99"/>
    <w:rsid w:val="00E35C88"/>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6" w:lineRule="auto"/>
    </w:pPr>
    <w:rPr>
      <w:rFonts w:ascii="Calibri" w:eastAsia="Calibri" w:hAnsi="Calibri" w:cs="QuaySansEF Book"/>
      <w:color w:val="000000"/>
      <w:sz w:val="22"/>
      <w:szCs w:val="20"/>
    </w:rPr>
  </w:style>
  <w:style w:type="paragraph" w:customStyle="1" w:styleId="TutorialTextIndent">
    <w:name w:val="Tutorial Text Indent"/>
    <w:basedOn w:val="Normal"/>
    <w:uiPriority w:val="99"/>
    <w:rsid w:val="00E35C88"/>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6" w:lineRule="auto"/>
      <w:ind w:firstLine="240"/>
    </w:pPr>
    <w:rPr>
      <w:rFonts w:ascii="Calibri" w:eastAsia="Calibri" w:hAnsi="Calibri" w:cs="QuaySansEF Book"/>
      <w:sz w:val="22"/>
      <w:szCs w:val="20"/>
    </w:rPr>
  </w:style>
  <w:style w:type="paragraph" w:customStyle="1" w:styleId="TutorialNL-One">
    <w:name w:val="Tutorial NL-One"/>
    <w:basedOn w:val="Normal"/>
    <w:uiPriority w:val="99"/>
    <w:rsid w:val="00E35C88"/>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before="120" w:after="160" w:line="256" w:lineRule="auto"/>
      <w:ind w:left="480" w:hanging="240"/>
    </w:pPr>
    <w:rPr>
      <w:rFonts w:ascii="Calibri" w:eastAsia="Calibri" w:hAnsi="Calibri" w:cs="QuaySansEF Book"/>
      <w:color w:val="000000"/>
      <w:sz w:val="22"/>
      <w:szCs w:val="20"/>
    </w:rPr>
  </w:style>
  <w:style w:type="character" w:customStyle="1" w:styleId="Italic">
    <w:name w:val="Italic"/>
    <w:uiPriority w:val="99"/>
    <w:rsid w:val="00E35C88"/>
    <w:rPr>
      <w:rFonts w:ascii="Times New Roman" w:hAnsi="Times New Roman" w:cs="ITC Garamond Std Lt" w:hint="default"/>
      <w:i/>
      <w:iCs/>
      <w:strike w:val="0"/>
      <w:dstrike w:val="0"/>
      <w:color w:val="000000"/>
      <w:spacing w:val="0"/>
      <w:w w:val="100"/>
      <w:position w:val="0"/>
      <w:sz w:val="24"/>
      <w:szCs w:val="20"/>
      <w:u w:val="none"/>
      <w:effect w:val="none"/>
      <w:vertAlign w:val="baseline"/>
      <w:lang w:val="en-US"/>
    </w:rPr>
  </w:style>
  <w:style w:type="paragraph" w:styleId="Revision">
    <w:name w:val="Revision"/>
    <w:hidden/>
    <w:uiPriority w:val="99"/>
    <w:semiHidden/>
    <w:rsid w:val="002A3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EC15-70A6-425A-9539-9EB1B242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4462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Aruna Ramalingam</dc:creator>
  <cp:lastModifiedBy>Elizabeth Wells</cp:lastModifiedBy>
  <cp:revision>3</cp:revision>
  <dcterms:created xsi:type="dcterms:W3CDTF">2018-02-22T21:37:00Z</dcterms:created>
  <dcterms:modified xsi:type="dcterms:W3CDTF">2018-04-12T14:25:00Z</dcterms:modified>
</cp:coreProperties>
</file>