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A5AAD" w14:textId="77777777" w:rsidR="0021013C" w:rsidRPr="00330B8F" w:rsidRDefault="0021013C" w:rsidP="00172666">
      <w:pPr>
        <w:pStyle w:val="Title"/>
      </w:pPr>
      <w:r w:rsidRPr="00330B8F">
        <w:t>Tutorial 3</w:t>
      </w:r>
      <w:r w:rsidRPr="00330B8F">
        <w:rPr>
          <w:rStyle w:val="Italic"/>
          <w:sz w:val="52"/>
          <w:szCs w:val="52"/>
        </w:rPr>
        <w:t>.</w:t>
      </w:r>
      <w:r w:rsidRPr="00330B8F">
        <w:t>1</w:t>
      </w:r>
    </w:p>
    <w:p w14:paraId="3C8A5AAE" w14:textId="77777777" w:rsidR="0021013C" w:rsidRDefault="0021013C" w:rsidP="00172666">
      <w:pPr>
        <w:pStyle w:val="Heading1"/>
      </w:pPr>
      <w:r>
        <w:t>More on Review by Institutional Review Boards (IRBs)</w:t>
      </w:r>
    </w:p>
    <w:p w14:paraId="3C8A5AAF" w14:textId="062BAD10" w:rsidR="0021013C" w:rsidRDefault="0021013C" w:rsidP="0021013C">
      <w:pPr>
        <w:pStyle w:val="TutorialText"/>
        <w:spacing w:line="480" w:lineRule="auto"/>
        <w:rPr>
          <w:rFonts w:ascii="Times New Roman" w:hAnsi="Times New Roman"/>
          <w:sz w:val="24"/>
        </w:rPr>
      </w:pPr>
      <w:bookmarkStart w:id="0" w:name="_GoBack"/>
      <w:bookmarkEnd w:id="0"/>
      <w:r>
        <w:rPr>
          <w:rFonts w:ascii="Times New Roman" w:hAnsi="Times New Roman"/>
          <w:sz w:val="24"/>
        </w:rPr>
        <w:t>Gaining approval from an institutional review board (IRB) has become a standard part of doing any research involving human subjects. However, the approval process can be anything but standard. For instance, if an IRB raises important questions about your research, you may have to undertake multiple submissions before gaining approval, and the time consumed by these submissions may affect your schedule for doing the research.</w:t>
      </w:r>
    </w:p>
    <w:p w14:paraId="3C8A5AB0" w14:textId="77777777" w:rsidR="0021013C" w:rsidRDefault="0021013C" w:rsidP="0021013C">
      <w:pPr>
        <w:pStyle w:val="TutorialTextIndent"/>
        <w:spacing w:line="480" w:lineRule="auto"/>
        <w:rPr>
          <w:rFonts w:ascii="Times New Roman" w:hAnsi="Times New Roman"/>
          <w:sz w:val="24"/>
        </w:rPr>
      </w:pPr>
      <w:r>
        <w:rPr>
          <w:rFonts w:ascii="Times New Roman" w:hAnsi="Times New Roman"/>
          <w:sz w:val="24"/>
        </w:rPr>
        <w:t>As a general m</w:t>
      </w:r>
      <w:r w:rsidRPr="005B084C">
        <w:rPr>
          <w:rFonts w:ascii="Times New Roman" w:hAnsi="Times New Roman"/>
          <w:sz w:val="24"/>
        </w:rPr>
        <w:t>atter, you will want to prepare carefully for the IRB’s review. Every</w:t>
      </w:r>
      <w:r>
        <w:rPr>
          <w:rFonts w:ascii="Times New Roman" w:hAnsi="Times New Roman"/>
          <w:sz w:val="24"/>
        </w:rPr>
        <w:t xml:space="preserve"> university and research organization has its own IRB, usually consisting of five or more senior colleagues who volunteer to serve on a rotating basis. You can obtain a sound understanding of your local IRB’s expectations by first checking to see whether your IRB has its own website. Most such websites will provide detailed guidance about your particular IRB’s review procedures, experiences, and expectations.</w:t>
      </w:r>
    </w:p>
    <w:p w14:paraId="3C8A5AB1" w14:textId="77777777" w:rsidR="0021013C" w:rsidRDefault="0021013C" w:rsidP="0021013C">
      <w:pPr>
        <w:pStyle w:val="TutorialTextIndent"/>
        <w:spacing w:line="480" w:lineRule="auto"/>
        <w:rPr>
          <w:rFonts w:ascii="Times New Roman" w:hAnsi="Times New Roman"/>
          <w:sz w:val="24"/>
        </w:rPr>
      </w:pPr>
      <w:r>
        <w:rPr>
          <w:rFonts w:ascii="Times New Roman" w:hAnsi="Times New Roman"/>
          <w:sz w:val="24"/>
        </w:rPr>
        <w:t>Adding to this information, you might want to review previous submissions to your IRB that have covered research projects like the one you are proposing. Similarly, your literature review might highlight previous studies with highly similar topics and methods. If your study has an innovative flavor much less methodology, prepare ahead of time for the inevitable questions that the IRB might raise.</w:t>
      </w:r>
    </w:p>
    <w:p w14:paraId="3C8A5AB2" w14:textId="4F7FCD9A" w:rsidR="0021013C" w:rsidRDefault="0021013C" w:rsidP="0021013C">
      <w:pPr>
        <w:pStyle w:val="TutorialTextIndent"/>
        <w:spacing w:line="480" w:lineRule="auto"/>
        <w:rPr>
          <w:rFonts w:ascii="Times New Roman" w:hAnsi="Times New Roman"/>
          <w:sz w:val="24"/>
        </w:rPr>
      </w:pPr>
      <w:r>
        <w:rPr>
          <w:rFonts w:ascii="Times New Roman" w:hAnsi="Times New Roman"/>
          <w:sz w:val="24"/>
        </w:rPr>
        <w:t xml:space="preserve">More broadly, you can familiarize yourself with the principles underlying the need to protect human subjects by reviewing other works that cover the procedures in greater depth, especially relying on sources reflecting your own substantive subject area (e.g., for business research, see Eriksson &amp; </w:t>
      </w:r>
      <w:proofErr w:type="spellStart"/>
      <w:r>
        <w:rPr>
          <w:rFonts w:ascii="Times New Roman" w:hAnsi="Times New Roman"/>
          <w:sz w:val="24"/>
        </w:rPr>
        <w:t>Kovalainen</w:t>
      </w:r>
      <w:proofErr w:type="spellEnd"/>
      <w:r>
        <w:rPr>
          <w:rFonts w:ascii="Times New Roman" w:hAnsi="Times New Roman"/>
          <w:sz w:val="24"/>
        </w:rPr>
        <w:t xml:space="preserve">, 2008, pp. 62–76; for social work and sociology, see </w:t>
      </w:r>
      <w:r>
        <w:rPr>
          <w:rFonts w:ascii="Times New Roman" w:hAnsi="Times New Roman"/>
          <w:sz w:val="24"/>
        </w:rPr>
        <w:lastRenderedPageBreak/>
        <w:t xml:space="preserve">Grinnell &amp; </w:t>
      </w:r>
      <w:proofErr w:type="spellStart"/>
      <w:r>
        <w:rPr>
          <w:rFonts w:ascii="Times New Roman" w:hAnsi="Times New Roman"/>
          <w:sz w:val="24"/>
        </w:rPr>
        <w:t>Unrau</w:t>
      </w:r>
      <w:proofErr w:type="spellEnd"/>
      <w:r>
        <w:rPr>
          <w:rFonts w:ascii="Times New Roman" w:hAnsi="Times New Roman"/>
          <w:sz w:val="24"/>
        </w:rPr>
        <w:t xml:space="preserve">, 2008, pp. 30–59; and for public health, see </w:t>
      </w:r>
      <w:proofErr w:type="spellStart"/>
      <w:r>
        <w:rPr>
          <w:rFonts w:ascii="Times New Roman" w:hAnsi="Times New Roman"/>
          <w:sz w:val="24"/>
        </w:rPr>
        <w:t>Speiglman</w:t>
      </w:r>
      <w:proofErr w:type="spellEnd"/>
      <w:r>
        <w:rPr>
          <w:rFonts w:ascii="Times New Roman" w:hAnsi="Times New Roman"/>
          <w:sz w:val="24"/>
        </w:rPr>
        <w:t xml:space="preserve"> &amp; Spear, 2009). Likewise, you can consult the formal </w:t>
      </w:r>
      <w:proofErr w:type="spellStart"/>
      <w:r>
        <w:rPr>
          <w:rFonts w:ascii="Times New Roman" w:hAnsi="Times New Roman"/>
          <w:sz w:val="24"/>
        </w:rPr>
        <w:t>guidances</w:t>
      </w:r>
      <w:proofErr w:type="spellEnd"/>
      <w:r>
        <w:rPr>
          <w:rFonts w:ascii="Times New Roman" w:hAnsi="Times New Roman"/>
          <w:sz w:val="24"/>
        </w:rPr>
        <w:t xml:space="preserve"> issued by the various social science professions, selecting the one th</w:t>
      </w:r>
      <w:r w:rsidRPr="005B084C">
        <w:rPr>
          <w:rFonts w:ascii="Times New Roman" w:hAnsi="Times New Roman"/>
          <w:sz w:val="24"/>
        </w:rPr>
        <w:t>at you most identify with (e.g., see the citations to the several</w:t>
      </w:r>
      <w:r>
        <w:rPr>
          <w:rFonts w:ascii="Times New Roman" w:hAnsi="Times New Roman"/>
          <w:sz w:val="24"/>
        </w:rPr>
        <w:t xml:space="preserve"> professional associations’ documents listed under the heading “Conducting Research Ethically” in Chapter 3, </w:t>
      </w:r>
      <w:r w:rsidR="00454116">
        <w:rPr>
          <w:rFonts w:ascii="Times New Roman" w:hAnsi="Times New Roman"/>
          <w:sz w:val="24"/>
        </w:rPr>
        <w:t>pp. 86-87</w:t>
      </w:r>
      <w:r>
        <w:rPr>
          <w:rFonts w:ascii="Times New Roman" w:hAnsi="Times New Roman"/>
          <w:sz w:val="24"/>
        </w:rPr>
        <w:t xml:space="preserve"> of </w:t>
      </w:r>
      <w:r>
        <w:rPr>
          <w:rFonts w:ascii="Times New Roman" w:hAnsi="Times New Roman"/>
          <w:i/>
          <w:sz w:val="24"/>
        </w:rPr>
        <w:t>Case Study Research and Applications</w:t>
      </w:r>
      <w:r>
        <w:rPr>
          <w:rFonts w:ascii="Times New Roman" w:hAnsi="Times New Roman"/>
          <w:sz w:val="24"/>
        </w:rPr>
        <w:t>, 6th ed.).</w:t>
      </w:r>
    </w:p>
    <w:p w14:paraId="3C8A5AB3" w14:textId="77777777" w:rsidR="0021013C" w:rsidRDefault="0021013C" w:rsidP="0021013C">
      <w:pPr>
        <w:pStyle w:val="TutorialTextIndent"/>
        <w:spacing w:line="480" w:lineRule="auto"/>
        <w:rPr>
          <w:rFonts w:ascii="Times New Roman" w:hAnsi="Times New Roman"/>
          <w:sz w:val="24"/>
        </w:rPr>
      </w:pPr>
      <w:r>
        <w:rPr>
          <w:rFonts w:ascii="Times New Roman" w:hAnsi="Times New Roman"/>
          <w:sz w:val="24"/>
        </w:rPr>
        <w:t>Remember that an IRB’s specific concerns may vary from institution to institution and from IRB to IRB as its membership turns over. Do not hesitate to speak with a member or two of your own IRB ahead of time, to gain direct insight into the review process and its expectations.</w:t>
      </w:r>
    </w:p>
    <w:p w14:paraId="3C8A5AB4" w14:textId="77777777" w:rsidR="0021013C" w:rsidRDefault="0021013C" w:rsidP="00172666">
      <w:pPr>
        <w:pStyle w:val="Heading1"/>
      </w:pPr>
      <w:r>
        <w:t>Briefly Annotated References for Tutorial 3.1</w:t>
      </w:r>
    </w:p>
    <w:p w14:paraId="3C8A5AB5" w14:textId="74FF7684" w:rsidR="0021013C" w:rsidRDefault="0021013C" w:rsidP="0021013C">
      <w:pPr>
        <w:pStyle w:val="ReferenceText"/>
        <w:spacing w:line="480" w:lineRule="auto"/>
      </w:pPr>
      <w:r>
        <w:t xml:space="preserve">Eriksson, P., &amp; </w:t>
      </w:r>
      <w:proofErr w:type="spellStart"/>
      <w:r>
        <w:t>Kovalainen</w:t>
      </w:r>
      <w:proofErr w:type="spellEnd"/>
      <w:r>
        <w:t xml:space="preserve">, A. (2008). </w:t>
      </w:r>
      <w:r>
        <w:rPr>
          <w:rStyle w:val="Italic"/>
        </w:rPr>
        <w:t>Qualitative methods in business research</w:t>
      </w:r>
      <w:r>
        <w:rPr>
          <w:i/>
          <w:iCs/>
        </w:rPr>
        <w:t>.</w:t>
      </w:r>
      <w:r>
        <w:t xml:space="preserve"> London: Sage. Treats case study research as one of nine methods in qualitative business research.</w:t>
      </w:r>
    </w:p>
    <w:p w14:paraId="3C8A5AB6" w14:textId="77777777" w:rsidR="0021013C" w:rsidRDefault="0021013C" w:rsidP="0021013C">
      <w:pPr>
        <w:pStyle w:val="ReferenceText"/>
        <w:spacing w:line="480" w:lineRule="auto"/>
      </w:pPr>
      <w:r>
        <w:t xml:space="preserve">Grinnell, R. M., &amp; </w:t>
      </w:r>
      <w:proofErr w:type="spellStart"/>
      <w:r>
        <w:t>Unrau</w:t>
      </w:r>
      <w:proofErr w:type="spellEnd"/>
      <w:r>
        <w:t xml:space="preserve">, Y. A. (Eds.). (2008). </w:t>
      </w:r>
      <w:r>
        <w:rPr>
          <w:rStyle w:val="Italic"/>
        </w:rPr>
        <w:t>Social work research and evaluation: Foundations of evidence-based practice</w:t>
      </w:r>
      <w:r>
        <w:t>. New York: Oxford University Press. Serves as a comprehensive textbook on research and evaluation in social work.</w:t>
      </w:r>
    </w:p>
    <w:p w14:paraId="3C8A5AB7" w14:textId="77777777" w:rsidR="0021013C" w:rsidRDefault="0021013C" w:rsidP="003A05D5">
      <w:pPr>
        <w:spacing w:line="480" w:lineRule="auto"/>
        <w:ind w:left="720" w:hanging="720"/>
      </w:pPr>
      <w:proofErr w:type="spellStart"/>
      <w:r>
        <w:t>Speiglman</w:t>
      </w:r>
      <w:proofErr w:type="spellEnd"/>
      <w:r>
        <w:t xml:space="preserve">, R., &amp; Spear, P. (2009). The role of institutional review boards: Ethics: Now you see them, now you don’t. In D. M. Mertens &amp; P. E. Ginsberg (Eds.), </w:t>
      </w:r>
      <w:r>
        <w:rPr>
          <w:rStyle w:val="Italic"/>
        </w:rPr>
        <w:t>The handbook of social research ethics</w:t>
      </w:r>
      <w:r>
        <w:t xml:space="preserve"> (pp. 121–134). Thousand Oaks, CA: Sage. Describes the role of institutional review boards.</w:t>
      </w:r>
    </w:p>
    <w:p w14:paraId="3C8A5AB8" w14:textId="77777777"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A5ABB" w14:textId="77777777" w:rsidR="00795F33" w:rsidRDefault="00795F33">
      <w:r>
        <w:separator/>
      </w:r>
    </w:p>
  </w:endnote>
  <w:endnote w:type="continuationSeparator" w:id="0">
    <w:p w14:paraId="3C8A5ABC" w14:textId="77777777" w:rsidR="00795F33" w:rsidRDefault="0079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ySansEF Black">
    <w:panose1 w:val="00000000000000000000"/>
    <w:charset w:val="00"/>
    <w:family w:val="modern"/>
    <w:notTrueType/>
    <w:pitch w:val="variable"/>
    <w:sig w:usb0="800000AF" w:usb1="50002048" w:usb2="00000000" w:usb3="00000000" w:csb0="00000001" w:csb1="00000000"/>
  </w:font>
  <w:font w:name="QuaySansEF Book">
    <w:panose1 w:val="00000000000000000000"/>
    <w:charset w:val="00"/>
    <w:family w:val="modern"/>
    <w:notTrueType/>
    <w:pitch w:val="variable"/>
    <w:sig w:usb0="800000AF" w:usb1="50002048" w:usb2="00000000" w:usb3="00000000" w:csb0="00000001" w:csb1="00000000"/>
  </w:font>
  <w:font w:name="ITC Garamond Std Lt">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A5AB9" w14:textId="77777777" w:rsidR="00795F33" w:rsidRDefault="00795F33">
      <w:r>
        <w:separator/>
      </w:r>
    </w:p>
  </w:footnote>
  <w:footnote w:type="continuationSeparator" w:id="0">
    <w:p w14:paraId="3C8A5ABA" w14:textId="77777777" w:rsidR="00795F33" w:rsidRDefault="00795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5ABD" w14:textId="77777777" w:rsidR="008659CA" w:rsidRPr="000C5341" w:rsidRDefault="008659CA" w:rsidP="008659CA">
    <w:pPr>
      <w:tabs>
        <w:tab w:val="center" w:pos="4320"/>
        <w:tab w:val="right" w:pos="8640"/>
      </w:tabs>
      <w:spacing w:after="0"/>
      <w:jc w:val="right"/>
      <w:rPr>
        <w:rFonts w:ascii="Arial" w:hAnsi="Arial" w:cs="Arial"/>
        <w:i/>
        <w:sz w:val="20"/>
      </w:rPr>
    </w:pPr>
    <w:r w:rsidRPr="000C5341">
      <w:rPr>
        <w:rFonts w:ascii="Arial" w:hAnsi="Arial" w:cs="Arial"/>
        <w:sz w:val="20"/>
      </w:rPr>
      <w:t xml:space="preserve">Yin, </w:t>
    </w:r>
    <w:r w:rsidRPr="000C5341">
      <w:rPr>
        <w:rFonts w:ascii="Arial" w:hAnsi="Arial" w:cs="Arial"/>
        <w:i/>
        <w:sz w:val="20"/>
      </w:rPr>
      <w:t>Case Study Research and Applications 6e</w:t>
    </w:r>
  </w:p>
  <w:p w14:paraId="3C8A5ABE" w14:textId="0CC980AE" w:rsidR="008659CA" w:rsidRPr="000C5341" w:rsidRDefault="00330B8F" w:rsidP="008659CA">
    <w:pPr>
      <w:tabs>
        <w:tab w:val="center" w:pos="4320"/>
        <w:tab w:val="right" w:pos="8640"/>
      </w:tabs>
      <w:spacing w:after="0"/>
      <w:jc w:val="right"/>
      <w:rPr>
        <w:rFonts w:ascii="Arial" w:hAnsi="Arial" w:cs="Arial"/>
        <w:sz w:val="20"/>
      </w:rPr>
    </w:pPr>
    <w:r>
      <w:rPr>
        <w:rFonts w:ascii="Arial" w:hAnsi="Arial" w:cs="Arial"/>
        <w:sz w:val="20"/>
      </w:rPr>
      <w:t>SAGE Publishing, 2018</w:t>
    </w:r>
  </w:p>
  <w:p w14:paraId="3C8A5ABF" w14:textId="77777777" w:rsidR="004762E3" w:rsidRPr="000C5341" w:rsidRDefault="004762E3" w:rsidP="00865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3C"/>
    <w:rsid w:val="00024CB8"/>
    <w:rsid w:val="00033437"/>
    <w:rsid w:val="000C5341"/>
    <w:rsid w:val="000F388C"/>
    <w:rsid w:val="00144B23"/>
    <w:rsid w:val="00172666"/>
    <w:rsid w:val="00185227"/>
    <w:rsid w:val="001A06F6"/>
    <w:rsid w:val="001B761C"/>
    <w:rsid w:val="001F7343"/>
    <w:rsid w:val="0021013C"/>
    <w:rsid w:val="00227074"/>
    <w:rsid w:val="00272B2E"/>
    <w:rsid w:val="002D0F36"/>
    <w:rsid w:val="00327683"/>
    <w:rsid w:val="00330B8F"/>
    <w:rsid w:val="00331370"/>
    <w:rsid w:val="00361935"/>
    <w:rsid w:val="00370467"/>
    <w:rsid w:val="00393EAF"/>
    <w:rsid w:val="003A05D5"/>
    <w:rsid w:val="003C4235"/>
    <w:rsid w:val="003D5045"/>
    <w:rsid w:val="003E708D"/>
    <w:rsid w:val="003E7BF7"/>
    <w:rsid w:val="003F0E55"/>
    <w:rsid w:val="003F1942"/>
    <w:rsid w:val="0041308D"/>
    <w:rsid w:val="00454116"/>
    <w:rsid w:val="004762E3"/>
    <w:rsid w:val="00486A8A"/>
    <w:rsid w:val="004B17D5"/>
    <w:rsid w:val="004C7FAF"/>
    <w:rsid w:val="00500B36"/>
    <w:rsid w:val="0053536D"/>
    <w:rsid w:val="00542CC3"/>
    <w:rsid w:val="005646CF"/>
    <w:rsid w:val="00582851"/>
    <w:rsid w:val="00593132"/>
    <w:rsid w:val="005B084C"/>
    <w:rsid w:val="00616A17"/>
    <w:rsid w:val="006537C0"/>
    <w:rsid w:val="00661127"/>
    <w:rsid w:val="0067627F"/>
    <w:rsid w:val="006D1107"/>
    <w:rsid w:val="006E1D22"/>
    <w:rsid w:val="006E5044"/>
    <w:rsid w:val="0072507A"/>
    <w:rsid w:val="007557A1"/>
    <w:rsid w:val="00761723"/>
    <w:rsid w:val="00795F33"/>
    <w:rsid w:val="007B2823"/>
    <w:rsid w:val="007F2596"/>
    <w:rsid w:val="00811EC9"/>
    <w:rsid w:val="00831DDD"/>
    <w:rsid w:val="00852986"/>
    <w:rsid w:val="008659CA"/>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35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C2AB8"/>
    <w:rsid w:val="00CD1179"/>
    <w:rsid w:val="00CE4185"/>
    <w:rsid w:val="00CF39F3"/>
    <w:rsid w:val="00CF5F08"/>
    <w:rsid w:val="00D33536"/>
    <w:rsid w:val="00D37AF2"/>
    <w:rsid w:val="00D46302"/>
    <w:rsid w:val="00D667AA"/>
    <w:rsid w:val="00D8701F"/>
    <w:rsid w:val="00DA246F"/>
    <w:rsid w:val="00DB3334"/>
    <w:rsid w:val="00E352E1"/>
    <w:rsid w:val="00E52712"/>
    <w:rsid w:val="00E74418"/>
    <w:rsid w:val="00EC67A7"/>
    <w:rsid w:val="00EC6AC2"/>
    <w:rsid w:val="00F4373D"/>
    <w:rsid w:val="00F54DB9"/>
    <w:rsid w:val="00F7153D"/>
    <w:rsid w:val="00F77A8F"/>
    <w:rsid w:val="00FC3CBB"/>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8A5AAD"/>
  <w15:docId w15:val="{028050A4-6D67-4A33-84AD-C9BC50C8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paragraph" w:customStyle="1" w:styleId="TutorialHead">
    <w:name w:val="Tutorial Head"/>
    <w:basedOn w:val="Normal"/>
    <w:uiPriority w:val="99"/>
    <w:rsid w:val="0021013C"/>
    <w:pPr>
      <w:tabs>
        <w:tab w:val="left" w:pos="-1440"/>
        <w:tab w:val="left" w:pos="-72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6552"/>
        <w:tab w:val="left" w:pos="7056"/>
        <w:tab w:val="left" w:pos="7200"/>
        <w:tab w:val="left" w:pos="7560"/>
        <w:tab w:val="left" w:pos="7920"/>
        <w:tab w:val="left" w:pos="8064"/>
        <w:tab w:val="left" w:pos="8568"/>
        <w:tab w:val="left" w:pos="8640"/>
        <w:tab w:val="left" w:pos="9072"/>
        <w:tab w:val="left" w:pos="9360"/>
        <w:tab w:val="left" w:pos="9576"/>
        <w:tab w:val="left" w:pos="10080"/>
      </w:tabs>
      <w:spacing w:before="480" w:after="240" w:line="256" w:lineRule="auto"/>
      <w:jc w:val="center"/>
    </w:pPr>
    <w:rPr>
      <w:rFonts w:ascii="Calibri" w:eastAsia="Calibri" w:hAnsi="Calibri" w:cs="QuaySansEF Black"/>
      <w:b/>
      <w:sz w:val="30"/>
      <w:szCs w:val="30"/>
    </w:rPr>
  </w:style>
  <w:style w:type="paragraph" w:customStyle="1" w:styleId="TutorialText">
    <w:name w:val="Tutorial Text"/>
    <w:basedOn w:val="Normal"/>
    <w:uiPriority w:val="99"/>
    <w:rsid w:val="0021013C"/>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after="160" w:line="256" w:lineRule="auto"/>
    </w:pPr>
    <w:rPr>
      <w:rFonts w:ascii="Calibri" w:eastAsia="Calibri" w:hAnsi="Calibri" w:cs="QuaySansEF Book"/>
      <w:color w:val="000000"/>
      <w:sz w:val="22"/>
      <w:szCs w:val="20"/>
    </w:rPr>
  </w:style>
  <w:style w:type="paragraph" w:customStyle="1" w:styleId="TutorialTextIndent">
    <w:name w:val="Tutorial Text Indent"/>
    <w:basedOn w:val="Normal"/>
    <w:uiPriority w:val="99"/>
    <w:rsid w:val="0021013C"/>
    <w:pPr>
      <w:tabs>
        <w:tab w:val="left" w:pos="302"/>
        <w:tab w:val="left" w:pos="605"/>
        <w:tab w:val="left" w:pos="907"/>
        <w:tab w:val="left" w:pos="1210"/>
        <w:tab w:val="left" w:pos="1512"/>
        <w:tab w:val="left" w:pos="1814"/>
        <w:tab w:val="left" w:pos="2117"/>
        <w:tab w:val="left" w:pos="2419"/>
        <w:tab w:val="left" w:pos="2722"/>
        <w:tab w:val="left" w:pos="3024"/>
        <w:tab w:val="left" w:pos="3326"/>
        <w:tab w:val="left" w:pos="3629"/>
        <w:tab w:val="left" w:pos="3931"/>
        <w:tab w:val="left" w:pos="4234"/>
        <w:tab w:val="left" w:pos="4536"/>
        <w:tab w:val="left" w:pos="4838"/>
        <w:tab w:val="left" w:pos="5141"/>
        <w:tab w:val="left" w:pos="5443"/>
        <w:tab w:val="left" w:pos="5746"/>
        <w:tab w:val="left" w:pos="6048"/>
        <w:tab w:val="left" w:pos="6350"/>
        <w:tab w:val="left" w:pos="6653"/>
        <w:tab w:val="left" w:pos="6955"/>
        <w:tab w:val="left" w:pos="7258"/>
        <w:tab w:val="left" w:pos="7560"/>
        <w:tab w:val="left" w:pos="7862"/>
        <w:tab w:val="left" w:pos="8165"/>
        <w:tab w:val="left" w:pos="8467"/>
        <w:tab w:val="left" w:pos="8770"/>
        <w:tab w:val="left" w:pos="9072"/>
        <w:tab w:val="left" w:pos="9374"/>
        <w:tab w:val="left" w:pos="9677"/>
        <w:tab w:val="left" w:pos="9979"/>
        <w:tab w:val="left" w:pos="10282"/>
      </w:tabs>
      <w:spacing w:after="160" w:line="256" w:lineRule="auto"/>
      <w:ind w:firstLine="240"/>
    </w:pPr>
    <w:rPr>
      <w:rFonts w:ascii="Calibri" w:eastAsia="Calibri" w:hAnsi="Calibri" w:cs="QuaySansEF Book"/>
      <w:sz w:val="22"/>
      <w:szCs w:val="20"/>
    </w:rPr>
  </w:style>
  <w:style w:type="character" w:customStyle="1" w:styleId="Italic">
    <w:name w:val="Italic"/>
    <w:uiPriority w:val="99"/>
    <w:rsid w:val="0021013C"/>
    <w:rPr>
      <w:rFonts w:ascii="Times New Roman" w:hAnsi="Times New Roman" w:cs="ITC Garamond Std Lt" w:hint="default"/>
      <w:i/>
      <w:iCs/>
      <w:strike w:val="0"/>
      <w:dstrike w:val="0"/>
      <w:color w:val="000000"/>
      <w:spacing w:val="0"/>
      <w:w w:val="100"/>
      <w:position w:val="0"/>
      <w:sz w:val="24"/>
      <w:szCs w:val="20"/>
      <w:u w:val="none"/>
      <w:effect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na.ramalingam\Desktop\Notes\CDC%20Word%20Fi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8A7E-AC19-446D-B579-59D47080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Template>
  <TotalTime>0</TotalTime>
  <Pages>2</Pages>
  <Words>504</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3218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 Ramalingam</dc:creator>
  <cp:lastModifiedBy>Elizabeth Wells</cp:lastModifiedBy>
  <cp:revision>3</cp:revision>
  <dcterms:created xsi:type="dcterms:W3CDTF">2018-02-22T21:40:00Z</dcterms:created>
  <dcterms:modified xsi:type="dcterms:W3CDTF">2018-04-12T14:26:00Z</dcterms:modified>
</cp:coreProperties>
</file>