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217B" w14:textId="66E585A5" w:rsidR="002A4638" w:rsidRPr="00D8076A" w:rsidRDefault="002A4638" w:rsidP="002A4638">
      <w:pPr>
        <w:pStyle w:val="Title"/>
      </w:pPr>
      <w:r w:rsidRPr="00D8076A">
        <w:t>Tutorial 5</w:t>
      </w:r>
      <w:r w:rsidRPr="00D8076A">
        <w:rPr>
          <w:rStyle w:val="Italic"/>
          <w:rFonts w:cs="Times New Roman"/>
          <w:sz w:val="52"/>
          <w:szCs w:val="52"/>
        </w:rPr>
        <w:t>.</w:t>
      </w:r>
      <w:r w:rsidRPr="00D8076A">
        <w:t>2</w:t>
      </w:r>
    </w:p>
    <w:p w14:paraId="4119145F" w14:textId="76A95A42" w:rsidR="002A4638" w:rsidRDefault="002A4638" w:rsidP="002A4638">
      <w:pPr>
        <w:pStyle w:val="Heading1"/>
      </w:pPr>
      <w:r>
        <w:t>Depicting a Nonlinear Logic Model</w:t>
      </w:r>
    </w:p>
    <w:p w14:paraId="685A3A52" w14:textId="77777777" w:rsidR="002A4638" w:rsidRPr="002A06C8" w:rsidRDefault="002A4638" w:rsidP="002A4638">
      <w:pPr>
        <w:pStyle w:val="TutorialText"/>
        <w:tabs>
          <w:tab w:val="clear" w:pos="9374"/>
          <w:tab w:val="clear" w:pos="9979"/>
          <w:tab w:val="left" w:pos="9990"/>
        </w:tabs>
        <w:spacing w:line="480" w:lineRule="auto"/>
        <w:ind w:right="-360"/>
        <w:rPr>
          <w:rFonts w:ascii="Times New Roman" w:hAnsi="Times New Roman"/>
          <w:sz w:val="24"/>
          <w:szCs w:val="24"/>
        </w:rPr>
      </w:pPr>
      <w:r w:rsidRPr="00C35E34">
        <w:rPr>
          <w:rFonts w:ascii="Times New Roman" w:hAnsi="Times New Roman"/>
          <w:sz w:val="24"/>
          <w:szCs w:val="24"/>
        </w:rPr>
        <w:t xml:space="preserve">The logic models in Chapter 5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i/>
          <w:sz w:val="24"/>
          <w:szCs w:val="24"/>
        </w:rPr>
        <w:t>Case Study Research and Applications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6th</w:t>
      </w:r>
      <w:proofErr w:type="gramEnd"/>
      <w:r>
        <w:rPr>
          <w:rFonts w:ascii="Times New Roman" w:hAnsi="Times New Roman"/>
          <w:sz w:val="24"/>
          <w:szCs w:val="24"/>
        </w:rPr>
        <w:t xml:space="preserve"> ed.) </w:t>
      </w:r>
      <w:r w:rsidRPr="00C35E34">
        <w:rPr>
          <w:rFonts w:ascii="Times New Roman" w:hAnsi="Times New Roman"/>
          <w:sz w:val="24"/>
          <w:szCs w:val="24"/>
        </w:rPr>
        <w:t xml:space="preserve">all depict linear sequences of events. However, real-world events vacillate and intertwine in a more complex manner. The linear logic model may still have merit, </w:t>
      </w:r>
      <w:r w:rsidRPr="002A06C8">
        <w:rPr>
          <w:rFonts w:ascii="Times New Roman" w:hAnsi="Times New Roman"/>
          <w:sz w:val="24"/>
          <w:szCs w:val="24"/>
        </w:rPr>
        <w:t>because a sequence can be linear in the long run, smoothing over any short-term vacillations. However, Figure 5.A might help if you want to depict the nonlinear complexity explicitly (Yin &amp; Davis, 2006, 2007).</w:t>
      </w:r>
    </w:p>
    <w:p w14:paraId="687C5A44" w14:textId="77777777" w:rsidR="002A4638" w:rsidRPr="00C35E34" w:rsidRDefault="002A4638" w:rsidP="002A4638">
      <w:pPr>
        <w:pStyle w:val="TutorialTextIndent"/>
        <w:tabs>
          <w:tab w:val="clear" w:pos="9374"/>
          <w:tab w:val="left" w:pos="9630"/>
        </w:tabs>
        <w:spacing w:line="480" w:lineRule="auto"/>
        <w:ind w:right="-450" w:firstLine="270"/>
        <w:rPr>
          <w:rFonts w:ascii="Times New Roman" w:hAnsi="Times New Roman"/>
          <w:sz w:val="24"/>
          <w:szCs w:val="24"/>
        </w:rPr>
      </w:pPr>
      <w:r w:rsidRPr="002A06C8">
        <w:rPr>
          <w:rFonts w:ascii="Times New Roman" w:hAnsi="Times New Roman"/>
          <w:sz w:val="24"/>
          <w:szCs w:val="24"/>
        </w:rPr>
        <w:t xml:space="preserve">The figure has four panels, each with a title at the top and a time interval, </w:t>
      </w:r>
      <w:r w:rsidRPr="002A06C8">
        <w:rPr>
          <w:rStyle w:val="Italic"/>
        </w:rPr>
        <w:t>t1</w:t>
      </w:r>
      <w:r w:rsidRPr="002A06C8">
        <w:rPr>
          <w:rFonts w:ascii="Times New Roman" w:hAnsi="Times New Roman"/>
          <w:sz w:val="24"/>
          <w:szCs w:val="24"/>
        </w:rPr>
        <w:t xml:space="preserve"> to </w:t>
      </w:r>
      <w:r w:rsidRPr="002A06C8">
        <w:rPr>
          <w:rStyle w:val="Italic"/>
        </w:rPr>
        <w:t>t4</w:t>
      </w:r>
      <w:r w:rsidRPr="002A06C8">
        <w:rPr>
          <w:rFonts w:ascii="Times New Roman" w:hAnsi="Times New Roman"/>
          <w:iCs/>
          <w:sz w:val="24"/>
          <w:szCs w:val="24"/>
        </w:rPr>
        <w:t>,</w:t>
      </w:r>
      <w:r w:rsidRPr="002A06C8">
        <w:rPr>
          <w:rFonts w:ascii="Times New Roman" w:hAnsi="Times New Roman"/>
          <w:sz w:val="24"/>
          <w:szCs w:val="24"/>
        </w:rPr>
        <w:t xml:space="preserve"> in the lower right-hand corner. In each panel, the group of concentric circles </w:t>
      </w:r>
      <w:r w:rsidRPr="00C35E34">
        <w:rPr>
          <w:rFonts w:ascii="Times New Roman" w:hAnsi="Times New Roman"/>
          <w:sz w:val="24"/>
          <w:szCs w:val="24"/>
        </w:rPr>
        <w:t xml:space="preserve">represents </w:t>
      </w:r>
      <w:r>
        <w:rPr>
          <w:rFonts w:ascii="Times New Roman" w:hAnsi="Times New Roman"/>
          <w:sz w:val="24"/>
          <w:szCs w:val="24"/>
        </w:rPr>
        <w:t xml:space="preserve">the same </w:t>
      </w:r>
      <w:r w:rsidRPr="00C35E34">
        <w:rPr>
          <w:rFonts w:ascii="Times New Roman" w:hAnsi="Times New Roman"/>
          <w:sz w:val="24"/>
          <w:szCs w:val="24"/>
        </w:rPr>
        <w:t xml:space="preserve">organization </w:t>
      </w:r>
      <w:r>
        <w:rPr>
          <w:rFonts w:ascii="Times New Roman" w:hAnsi="Times New Roman"/>
          <w:sz w:val="24"/>
          <w:szCs w:val="24"/>
        </w:rPr>
        <w:t xml:space="preserve">but </w:t>
      </w:r>
      <w:r w:rsidRPr="00C35E34">
        <w:rPr>
          <w:rFonts w:ascii="Times New Roman" w:hAnsi="Times New Roman"/>
          <w:sz w:val="24"/>
          <w:szCs w:val="24"/>
        </w:rPr>
        <w:t xml:space="preserve">whose reform status fluctuates vertically from panel to panel. Thus, at </w:t>
      </w:r>
      <w:r w:rsidRPr="00C35E34">
        <w:rPr>
          <w:rStyle w:val="Italic"/>
        </w:rPr>
        <w:t>t1</w:t>
      </w:r>
      <w:r w:rsidRPr="00831AEE">
        <w:rPr>
          <w:rFonts w:ascii="Times New Roman" w:hAnsi="Times New Roman"/>
          <w:iCs/>
          <w:sz w:val="24"/>
          <w:szCs w:val="24"/>
        </w:rPr>
        <w:t>,</w:t>
      </w:r>
      <w:r w:rsidRPr="00C35E34">
        <w:rPr>
          <w:rFonts w:ascii="Times New Roman" w:hAnsi="Times New Roman"/>
          <w:sz w:val="24"/>
          <w:szCs w:val="24"/>
        </w:rPr>
        <w:t xml:space="preserve"> the circles are at their lowest, representing </w:t>
      </w:r>
      <w:r>
        <w:rPr>
          <w:rFonts w:ascii="Times New Roman" w:hAnsi="Times New Roman"/>
          <w:sz w:val="24"/>
          <w:szCs w:val="24"/>
        </w:rPr>
        <w:t>the</w:t>
      </w:r>
      <w:r w:rsidRPr="00C35E34">
        <w:rPr>
          <w:rFonts w:ascii="Times New Roman" w:hAnsi="Times New Roman"/>
          <w:sz w:val="24"/>
          <w:szCs w:val="24"/>
        </w:rPr>
        <w:t xml:space="preserve"> organization at its lowest reform status, whereas </w:t>
      </w:r>
      <w:r w:rsidRPr="00C35E34">
        <w:rPr>
          <w:rStyle w:val="Italic"/>
        </w:rPr>
        <w:t>t3</w:t>
      </w:r>
      <w:r w:rsidRPr="00C35E34">
        <w:rPr>
          <w:rFonts w:ascii="Times New Roman" w:hAnsi="Times New Roman"/>
          <w:sz w:val="24"/>
          <w:szCs w:val="24"/>
        </w:rPr>
        <w:t xml:space="preserve"> shows the organization at its highest status. The flexibility along the vertical dimension permits the reform status to </w:t>
      </w:r>
      <w:proofErr w:type="gramStart"/>
      <w:r w:rsidRPr="00C35E34">
        <w:rPr>
          <w:rFonts w:ascii="Times New Roman" w:hAnsi="Times New Roman"/>
          <w:sz w:val="24"/>
          <w:szCs w:val="24"/>
        </w:rPr>
        <w:t>be represented</w:t>
      </w:r>
      <w:proofErr w:type="gramEnd"/>
      <w:r w:rsidRPr="00C35E34">
        <w:rPr>
          <w:rFonts w:ascii="Times New Roman" w:hAnsi="Times New Roman"/>
          <w:sz w:val="24"/>
          <w:szCs w:val="24"/>
        </w:rPr>
        <w:t xml:space="preserve"> nonlinearly, so for illustrative purposes, a regressive reform status is shown at </w:t>
      </w:r>
      <w:r w:rsidRPr="00C35E34">
        <w:rPr>
          <w:rStyle w:val="Italic"/>
        </w:rPr>
        <w:t>t4</w:t>
      </w:r>
      <w:r w:rsidRPr="00C35E34">
        <w:rPr>
          <w:rFonts w:ascii="Times New Roman" w:hAnsi="Times New Roman"/>
          <w:i/>
          <w:iCs/>
          <w:sz w:val="24"/>
          <w:szCs w:val="24"/>
        </w:rPr>
        <w:t>.</w:t>
      </w:r>
      <w:r w:rsidRPr="00C35E34">
        <w:rPr>
          <w:rFonts w:ascii="Times New Roman" w:hAnsi="Times New Roman"/>
          <w:sz w:val="24"/>
          <w:szCs w:val="24"/>
        </w:rPr>
        <w:t xml:space="preserve"> In this manner, the progressive and regressive shifts </w:t>
      </w:r>
      <w:proofErr w:type="gramStart"/>
      <w:r w:rsidRPr="00C35E34">
        <w:rPr>
          <w:rFonts w:ascii="Times New Roman" w:hAnsi="Times New Roman"/>
          <w:sz w:val="24"/>
          <w:szCs w:val="24"/>
        </w:rPr>
        <w:t>can be depicted over any amount of time and even shown in motion, graphically</w:t>
      </w:r>
      <w:proofErr w:type="gramEnd"/>
      <w:r w:rsidRPr="00C35E34">
        <w:rPr>
          <w:rFonts w:ascii="Times New Roman" w:hAnsi="Times New Roman"/>
          <w:sz w:val="24"/>
          <w:szCs w:val="24"/>
        </w:rPr>
        <w:t>.</w:t>
      </w:r>
    </w:p>
    <w:p w14:paraId="059FD3EC" w14:textId="77777777" w:rsidR="002A4638" w:rsidRPr="00C35E34" w:rsidRDefault="002A4638" w:rsidP="002A4638">
      <w:pPr>
        <w:pStyle w:val="TutorialTextIndent"/>
        <w:tabs>
          <w:tab w:val="clear" w:pos="9374"/>
          <w:tab w:val="left" w:pos="9810"/>
        </w:tabs>
        <w:spacing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C35E34">
        <w:rPr>
          <w:rFonts w:ascii="Times New Roman" w:hAnsi="Times New Roman" w:cs="Times New Roman"/>
          <w:sz w:val="24"/>
          <w:szCs w:val="24"/>
        </w:rPr>
        <w:t xml:space="preserve">In this example, the organization is a school system. The various elements within the school system appear as lettered objects within </w:t>
      </w:r>
      <w:r w:rsidRPr="002A06C8">
        <w:rPr>
          <w:rFonts w:ascii="Times New Roman" w:hAnsi="Times New Roman" w:cs="Times New Roman"/>
          <w:sz w:val="24"/>
          <w:szCs w:val="24"/>
        </w:rPr>
        <w:t xml:space="preserve">each group of concentric circles (the lettered objects </w:t>
      </w:r>
      <w:proofErr w:type="gramStart"/>
      <w:r w:rsidRPr="002A06C8">
        <w:rPr>
          <w:rFonts w:ascii="Times New Roman" w:hAnsi="Times New Roman" w:cs="Times New Roman"/>
          <w:sz w:val="24"/>
          <w:szCs w:val="24"/>
        </w:rPr>
        <w:t>are decoded</w:t>
      </w:r>
      <w:proofErr w:type="gramEnd"/>
      <w:r w:rsidRPr="002A06C8">
        <w:rPr>
          <w:rFonts w:ascii="Times New Roman" w:hAnsi="Times New Roman" w:cs="Times New Roman"/>
          <w:sz w:val="24"/>
          <w:szCs w:val="24"/>
        </w:rPr>
        <w:t xml:space="preserve"> in the “key” at the bottom of Figure 5.A). The theory of education reform posits that system reform will advance as the elements </w:t>
      </w:r>
      <w:proofErr w:type="gramStart"/>
      <w:r w:rsidRPr="002A06C8">
        <w:rPr>
          <w:rFonts w:ascii="Times New Roman" w:hAnsi="Times New Roman" w:cs="Times New Roman"/>
          <w:sz w:val="24"/>
          <w:szCs w:val="24"/>
        </w:rPr>
        <w:t>become aligned</w:t>
      </w:r>
      <w:proofErr w:type="gramEnd"/>
      <w:r w:rsidRPr="002A06C8">
        <w:rPr>
          <w:rFonts w:ascii="Times New Roman" w:hAnsi="Times New Roman" w:cs="Times New Roman"/>
          <w:sz w:val="24"/>
          <w:szCs w:val="24"/>
        </w:rPr>
        <w:t xml:space="preserve"> (depicted by their shifting from the periphery to the center of the concentric circles over time). The vertical </w:t>
      </w:r>
      <w:r w:rsidRPr="00C35E34">
        <w:rPr>
          <w:rFonts w:ascii="Times New Roman" w:hAnsi="Times New Roman" w:cs="Times New Roman"/>
          <w:sz w:val="24"/>
          <w:szCs w:val="24"/>
        </w:rPr>
        <w:t xml:space="preserve">scale is student performance, with the theory claiming greater reform to be associated with improved student performance. As a result, the theory also stipulates that the desired </w:t>
      </w:r>
      <w:r w:rsidRPr="00C35E34">
        <w:rPr>
          <w:rFonts w:ascii="Times New Roman" w:hAnsi="Times New Roman" w:cs="Times New Roman"/>
          <w:sz w:val="24"/>
          <w:szCs w:val="24"/>
        </w:rPr>
        <w:lastRenderedPageBreak/>
        <w:t>reform needs to affect an increasing number of units within the organization, in this case the schools (represented by the flags) within the school system.</w:t>
      </w:r>
    </w:p>
    <w:p w14:paraId="5F91C9D1" w14:textId="77777777" w:rsidR="002A4638" w:rsidRDefault="002A4638" w:rsidP="002A4638">
      <w:pPr>
        <w:pStyle w:val="TutorialTextIndent"/>
        <w:tabs>
          <w:tab w:val="clear" w:pos="9374"/>
          <w:tab w:val="left" w:pos="9810"/>
        </w:tabs>
        <w:spacing w:line="48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C35E34">
        <w:rPr>
          <w:rFonts w:ascii="Times New Roman" w:hAnsi="Times New Roman" w:cs="Times New Roman"/>
          <w:sz w:val="24"/>
          <w:szCs w:val="24"/>
        </w:rPr>
        <w:t>A similar nonlinear logic model can represent a business or any other organization undergoing coordinated operational changes aimed at transforming the organization and its culture—and in business, even its name (see Yin, 2012, chaps. 9 and 12 for a case study of a single firm and then the cross-case analysis of a group of transformed firms).</w:t>
      </w:r>
    </w:p>
    <w:p w14:paraId="76F842E5" w14:textId="77777777" w:rsidR="002A4638" w:rsidRDefault="002A4638" w:rsidP="002A4638">
      <w:pPr>
        <w:pStyle w:val="TutorialTextIndent"/>
        <w:tabs>
          <w:tab w:val="clear" w:pos="9374"/>
          <w:tab w:val="left" w:pos="9810"/>
        </w:tabs>
        <w:spacing w:line="480" w:lineRule="auto"/>
        <w:ind w:firstLine="270"/>
        <w:jc w:val="center"/>
        <w:rPr>
          <w:rFonts w:ascii="Times New Roman" w:hAnsi="Times New Roman"/>
          <w:b/>
          <w:szCs w:val="24"/>
        </w:rPr>
      </w:pPr>
      <w:r w:rsidRPr="00EC51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7DB980" wp14:editId="69357424">
            <wp:extent cx="4330460" cy="550190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0460" cy="55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B4194" w14:textId="77777777" w:rsidR="002A4638" w:rsidRDefault="002A4638" w:rsidP="00CB7B1D">
      <w:pPr>
        <w:pStyle w:val="TutorialTextIndent"/>
        <w:tabs>
          <w:tab w:val="clear" w:pos="9374"/>
          <w:tab w:val="left" w:pos="9810"/>
        </w:tabs>
        <w:spacing w:line="480" w:lineRule="auto"/>
        <w:ind w:left="270" w:firstLine="0"/>
        <w:jc w:val="both"/>
        <w:rPr>
          <w:rFonts w:ascii="Times New Roman" w:hAnsi="Times New Roman"/>
          <w:szCs w:val="24"/>
        </w:rPr>
      </w:pPr>
      <w:r w:rsidRPr="00EC5145">
        <w:rPr>
          <w:rFonts w:ascii="Times New Roman" w:hAnsi="Times New Roman"/>
          <w:b/>
          <w:szCs w:val="24"/>
        </w:rPr>
        <w:lastRenderedPageBreak/>
        <w:t>Figure 5.A</w:t>
      </w:r>
      <w:r w:rsidRPr="00EC5145">
        <w:rPr>
          <w:rFonts w:ascii="Times New Roman" w:hAnsi="Times New Roman"/>
          <w:szCs w:val="24"/>
        </w:rPr>
        <w:t> </w:t>
      </w:r>
      <w:r w:rsidRPr="00EC5145">
        <w:rPr>
          <w:rFonts w:ascii="Times New Roman" w:hAnsi="Times New Roman"/>
          <w:szCs w:val="24"/>
        </w:rPr>
        <w:t> </w:t>
      </w:r>
      <w:r w:rsidRPr="00EC5145">
        <w:rPr>
          <w:rFonts w:ascii="Times New Roman" w:hAnsi="Times New Roman"/>
          <w:szCs w:val="24"/>
        </w:rPr>
        <w:t>Hypothetical States of an Education K</w:t>
      </w:r>
      <w:r>
        <w:rPr>
          <w:rFonts w:ascii="Times New Roman" w:hAnsi="Times New Roman"/>
          <w:szCs w:val="24"/>
        </w:rPr>
        <w:t>-</w:t>
      </w:r>
      <w:r w:rsidRPr="00EC5145">
        <w:rPr>
          <w:rFonts w:ascii="Times New Roman" w:hAnsi="Times New Roman"/>
          <w:szCs w:val="24"/>
        </w:rPr>
        <w:t>12 Reforming System</w:t>
      </w:r>
      <w:r>
        <w:rPr>
          <w:rFonts w:ascii="Times New Roman" w:hAnsi="Times New Roman"/>
          <w:szCs w:val="24"/>
        </w:rPr>
        <w:t>.</w:t>
      </w:r>
      <w:r w:rsidRPr="00BC7966">
        <w:rPr>
          <w:rFonts w:ascii="Times New Roman" w:hAnsi="Times New Roman"/>
          <w:szCs w:val="24"/>
        </w:rPr>
        <w:t xml:space="preserve"> </w:t>
      </w:r>
      <w:r w:rsidRPr="00831AEE">
        <w:rPr>
          <w:rFonts w:ascii="Times New Roman" w:hAnsi="Times New Roman"/>
          <w:i/>
          <w:szCs w:val="24"/>
        </w:rPr>
        <w:t>Source</w:t>
      </w:r>
      <w:r w:rsidRPr="00EC5145">
        <w:rPr>
          <w:rFonts w:ascii="Times New Roman" w:hAnsi="Times New Roman"/>
          <w:szCs w:val="24"/>
        </w:rPr>
        <w:t xml:space="preserve">: Yin and Davis </w:t>
      </w:r>
      <w:bookmarkStart w:id="0" w:name="_GoBack"/>
      <w:bookmarkEnd w:id="0"/>
      <w:r w:rsidRPr="00EC5145">
        <w:rPr>
          <w:rFonts w:ascii="Times New Roman" w:hAnsi="Times New Roman"/>
          <w:szCs w:val="24"/>
        </w:rPr>
        <w:t>(2007).</w:t>
      </w:r>
    </w:p>
    <w:p w14:paraId="6F7FA44D" w14:textId="77777777" w:rsidR="002A4638" w:rsidRPr="00BC7966" w:rsidRDefault="002A4638" w:rsidP="002A4638">
      <w:pPr>
        <w:pStyle w:val="Heading1"/>
        <w:ind w:left="270"/>
      </w:pPr>
      <w:r w:rsidRPr="00BC7966">
        <w:t>Briefly Annotated References for Tutorial 5.2</w:t>
      </w:r>
    </w:p>
    <w:p w14:paraId="0ECF2080" w14:textId="77777777" w:rsidR="002A4638" w:rsidRPr="00C35E34" w:rsidRDefault="002A4638" w:rsidP="002A4638">
      <w:pPr>
        <w:pStyle w:val="ReferenceText"/>
        <w:spacing w:line="480" w:lineRule="auto"/>
        <w:ind w:left="990"/>
        <w:rPr>
          <w:szCs w:val="24"/>
        </w:rPr>
      </w:pPr>
      <w:r w:rsidRPr="00C35E34">
        <w:rPr>
          <w:szCs w:val="24"/>
        </w:rPr>
        <w:t xml:space="preserve">Yin, R. K. (2012). </w:t>
      </w:r>
      <w:r w:rsidRPr="00C35E34">
        <w:rPr>
          <w:i/>
          <w:iCs/>
          <w:szCs w:val="24"/>
        </w:rPr>
        <w:t>Applications of case study research</w:t>
      </w:r>
      <w:r w:rsidRPr="00C35E34">
        <w:rPr>
          <w:rStyle w:val="Italic"/>
        </w:rPr>
        <w:t xml:space="preserve"> </w:t>
      </w:r>
      <w:r w:rsidRPr="00C35E34">
        <w:rPr>
          <w:szCs w:val="24"/>
        </w:rPr>
        <w:t>(</w:t>
      </w:r>
      <w:proofErr w:type="gramStart"/>
      <w:r w:rsidRPr="00C35E34">
        <w:rPr>
          <w:szCs w:val="24"/>
        </w:rPr>
        <w:t>3rd</w:t>
      </w:r>
      <w:proofErr w:type="gramEnd"/>
      <w:r w:rsidRPr="00C35E34">
        <w:rPr>
          <w:szCs w:val="24"/>
        </w:rPr>
        <w:t xml:space="preserve"> ed.). Thousand Oaks, CA: Sage. Contains case studies on comprehensive transformation within business firms.</w:t>
      </w:r>
    </w:p>
    <w:p w14:paraId="3B1E9229" w14:textId="77777777" w:rsidR="002A4638" w:rsidRPr="00C35E34" w:rsidRDefault="002A4638" w:rsidP="002A4638">
      <w:pPr>
        <w:pStyle w:val="ReferenceText"/>
        <w:spacing w:line="480" w:lineRule="auto"/>
        <w:ind w:left="990"/>
        <w:rPr>
          <w:szCs w:val="24"/>
        </w:rPr>
      </w:pPr>
      <w:r w:rsidRPr="00C35E34">
        <w:rPr>
          <w:szCs w:val="24"/>
        </w:rPr>
        <w:t xml:space="preserve">Yin, R. K., &amp; Davis, D. (2006). State-level education reform: Putting all the pieces together. In K. Wong &amp; S. Rutledge (Eds.), </w:t>
      </w:r>
      <w:proofErr w:type="spellStart"/>
      <w:r w:rsidRPr="00C35E34">
        <w:rPr>
          <w:i/>
          <w:iCs/>
          <w:szCs w:val="24"/>
        </w:rPr>
        <w:t>Systemwide</w:t>
      </w:r>
      <w:proofErr w:type="spellEnd"/>
      <w:r w:rsidRPr="00C35E34">
        <w:rPr>
          <w:i/>
          <w:iCs/>
          <w:szCs w:val="24"/>
        </w:rPr>
        <w:t xml:space="preserve"> efforts to improve student achievement</w:t>
      </w:r>
      <w:r w:rsidRPr="00C35E34">
        <w:rPr>
          <w:szCs w:val="24"/>
        </w:rPr>
        <w:t xml:space="preserve"> (pp. 1–33). Greenwich, CT: Information Age Publishing. Describes comprehensive education reform.</w:t>
      </w:r>
    </w:p>
    <w:p w14:paraId="1EDA098F" w14:textId="77777777" w:rsidR="002A4638" w:rsidRPr="00C35E34" w:rsidRDefault="002A4638" w:rsidP="00C32FCF">
      <w:pPr>
        <w:spacing w:line="480" w:lineRule="auto"/>
        <w:ind w:left="990" w:hanging="720"/>
      </w:pPr>
      <w:r w:rsidRPr="00C35E34">
        <w:t xml:space="preserve">Yin, R. K., &amp; Davis, D. (2007). Adding new dimensions to case study evaluations: The case of evaluating comprehensive reforms. In G. </w:t>
      </w:r>
      <w:proofErr w:type="spellStart"/>
      <w:r w:rsidRPr="00C35E34">
        <w:t>Julnes</w:t>
      </w:r>
      <w:proofErr w:type="spellEnd"/>
      <w:r w:rsidRPr="00C35E34">
        <w:t xml:space="preserve"> &amp; D. J. Rog (Eds.), </w:t>
      </w:r>
      <w:r w:rsidRPr="00C35E34">
        <w:rPr>
          <w:i/>
          <w:iCs/>
        </w:rPr>
        <w:t xml:space="preserve">Informing federal policies for evaluation methodology </w:t>
      </w:r>
      <w:r w:rsidRPr="00C35E34">
        <w:t xml:space="preserve">(New Directions in Program Evaluation, No. 113, pp. 75–93). San Francisco: </w:t>
      </w:r>
      <w:proofErr w:type="spellStart"/>
      <w:r w:rsidRPr="00C35E34">
        <w:t>Jossey</w:t>
      </w:r>
      <w:proofErr w:type="spellEnd"/>
      <w:r w:rsidRPr="00C35E34">
        <w:t>-Bass. Discusses the education issues related to the illustrative nonlinear logic model.</w:t>
      </w:r>
    </w:p>
    <w:p w14:paraId="2DAD848C" w14:textId="77777777" w:rsidR="002A4638" w:rsidRPr="00A44E55" w:rsidRDefault="002A4638" w:rsidP="002A4638">
      <w:pPr>
        <w:ind w:left="270"/>
      </w:pPr>
    </w:p>
    <w:p w14:paraId="74C2C147" w14:textId="77777777" w:rsidR="002A4638" w:rsidRDefault="002A4638" w:rsidP="002A4638">
      <w:pPr>
        <w:ind w:left="270"/>
      </w:pPr>
    </w:p>
    <w:p w14:paraId="186B52F5" w14:textId="77777777" w:rsidR="002A4638" w:rsidRPr="00A44E55" w:rsidRDefault="002A4638" w:rsidP="002A4638">
      <w:pPr>
        <w:ind w:left="270"/>
      </w:pPr>
    </w:p>
    <w:sectPr w:rsidR="002A4638" w:rsidRPr="00A44E55" w:rsidSect="003E708D">
      <w:headerReference w:type="default" r:id="rId9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B7D51" w14:textId="77777777" w:rsidR="00542ADD" w:rsidRDefault="00542ADD">
      <w:r>
        <w:separator/>
      </w:r>
    </w:p>
  </w:endnote>
  <w:endnote w:type="continuationSeparator" w:id="0">
    <w:p w14:paraId="620BFCB7" w14:textId="77777777" w:rsidR="00542ADD" w:rsidRDefault="0054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ySansEF Black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QuaySansEF Book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ITC Garamond Std Lt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95DE" w14:textId="77777777" w:rsidR="00542ADD" w:rsidRDefault="00542ADD">
      <w:r>
        <w:separator/>
      </w:r>
    </w:p>
  </w:footnote>
  <w:footnote w:type="continuationSeparator" w:id="0">
    <w:p w14:paraId="3A055B47" w14:textId="77777777" w:rsidR="00542ADD" w:rsidRDefault="0054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4F1A" w14:textId="77777777" w:rsidR="0027538F" w:rsidRPr="00831AEE" w:rsidRDefault="0027538F" w:rsidP="0027538F">
    <w:pPr>
      <w:tabs>
        <w:tab w:val="center" w:pos="4320"/>
        <w:tab w:val="right" w:pos="8640"/>
      </w:tabs>
      <w:spacing w:after="0"/>
      <w:jc w:val="right"/>
      <w:rPr>
        <w:rFonts w:ascii="Arial" w:hAnsi="Arial" w:cs="Arial"/>
        <w:i/>
        <w:sz w:val="20"/>
      </w:rPr>
    </w:pPr>
    <w:r w:rsidRPr="00831AEE">
      <w:rPr>
        <w:rFonts w:ascii="Arial" w:hAnsi="Arial" w:cs="Arial"/>
        <w:sz w:val="20"/>
      </w:rPr>
      <w:t xml:space="preserve">Yin, </w:t>
    </w:r>
    <w:r w:rsidRPr="00831AEE">
      <w:rPr>
        <w:rFonts w:ascii="Arial" w:hAnsi="Arial" w:cs="Arial"/>
        <w:i/>
        <w:sz w:val="20"/>
      </w:rPr>
      <w:t>Case Study Research and Applications 6e</w:t>
    </w:r>
  </w:p>
  <w:p w14:paraId="20DD4F1B" w14:textId="329F59CC" w:rsidR="0027538F" w:rsidRPr="00831AEE" w:rsidRDefault="0027538F" w:rsidP="0027538F">
    <w:pPr>
      <w:tabs>
        <w:tab w:val="center" w:pos="4320"/>
        <w:tab w:val="right" w:pos="8640"/>
      </w:tabs>
      <w:spacing w:after="0"/>
      <w:jc w:val="right"/>
      <w:rPr>
        <w:rFonts w:ascii="Arial" w:hAnsi="Arial" w:cs="Arial"/>
        <w:sz w:val="20"/>
      </w:rPr>
    </w:pPr>
    <w:r w:rsidRPr="00831AEE">
      <w:rPr>
        <w:rFonts w:ascii="Arial" w:hAnsi="Arial" w:cs="Arial"/>
        <w:sz w:val="20"/>
      </w:rPr>
      <w:t>SAGE Publis</w:t>
    </w:r>
    <w:r w:rsidR="00D8076A">
      <w:rPr>
        <w:rFonts w:ascii="Arial" w:hAnsi="Arial" w:cs="Arial"/>
        <w:sz w:val="20"/>
      </w:rPr>
      <w:t>hing, 2018</w:t>
    </w:r>
  </w:p>
  <w:p w14:paraId="20DD4F1C" w14:textId="77777777" w:rsidR="004762E3" w:rsidRPr="0027538F" w:rsidRDefault="004762E3" w:rsidP="00275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0"/>
    <w:rsid w:val="00024CB8"/>
    <w:rsid w:val="00033437"/>
    <w:rsid w:val="000A4CD8"/>
    <w:rsid w:val="000F388C"/>
    <w:rsid w:val="0013773E"/>
    <w:rsid w:val="00151CDE"/>
    <w:rsid w:val="00185227"/>
    <w:rsid w:val="001B761C"/>
    <w:rsid w:val="001D71BB"/>
    <w:rsid w:val="001F7343"/>
    <w:rsid w:val="00227074"/>
    <w:rsid w:val="00232F69"/>
    <w:rsid w:val="00272B2E"/>
    <w:rsid w:val="0027538F"/>
    <w:rsid w:val="002A06C8"/>
    <w:rsid w:val="002A4638"/>
    <w:rsid w:val="002D0F36"/>
    <w:rsid w:val="00307591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10E4"/>
    <w:rsid w:val="004762E3"/>
    <w:rsid w:val="00486A8A"/>
    <w:rsid w:val="004B17D5"/>
    <w:rsid w:val="004C7FAF"/>
    <w:rsid w:val="00500B36"/>
    <w:rsid w:val="0053536D"/>
    <w:rsid w:val="00542ADD"/>
    <w:rsid w:val="00542CC3"/>
    <w:rsid w:val="005646CF"/>
    <w:rsid w:val="00582851"/>
    <w:rsid w:val="00593132"/>
    <w:rsid w:val="00616A17"/>
    <w:rsid w:val="006537C0"/>
    <w:rsid w:val="00661127"/>
    <w:rsid w:val="0067627F"/>
    <w:rsid w:val="006D1107"/>
    <w:rsid w:val="006E1D22"/>
    <w:rsid w:val="006E5044"/>
    <w:rsid w:val="0072507A"/>
    <w:rsid w:val="007557A1"/>
    <w:rsid w:val="00761723"/>
    <w:rsid w:val="007B2823"/>
    <w:rsid w:val="007E55A2"/>
    <w:rsid w:val="00811EC9"/>
    <w:rsid w:val="00831AEE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62606"/>
    <w:rsid w:val="00A84C45"/>
    <w:rsid w:val="00AB42AC"/>
    <w:rsid w:val="00AD5452"/>
    <w:rsid w:val="00AD5E2E"/>
    <w:rsid w:val="00AF311C"/>
    <w:rsid w:val="00AF4F8B"/>
    <w:rsid w:val="00B04775"/>
    <w:rsid w:val="00B164AA"/>
    <w:rsid w:val="00B31FED"/>
    <w:rsid w:val="00B36615"/>
    <w:rsid w:val="00B42E08"/>
    <w:rsid w:val="00B73564"/>
    <w:rsid w:val="00BB0C36"/>
    <w:rsid w:val="00BC17F0"/>
    <w:rsid w:val="00C048E3"/>
    <w:rsid w:val="00C32FCF"/>
    <w:rsid w:val="00C55F1A"/>
    <w:rsid w:val="00C6457F"/>
    <w:rsid w:val="00C8654C"/>
    <w:rsid w:val="00CB2339"/>
    <w:rsid w:val="00CB7B1D"/>
    <w:rsid w:val="00CD1179"/>
    <w:rsid w:val="00CE4185"/>
    <w:rsid w:val="00CF39F3"/>
    <w:rsid w:val="00CF5F08"/>
    <w:rsid w:val="00D33536"/>
    <w:rsid w:val="00D37AF2"/>
    <w:rsid w:val="00D46302"/>
    <w:rsid w:val="00D667AA"/>
    <w:rsid w:val="00D8076A"/>
    <w:rsid w:val="00D8701F"/>
    <w:rsid w:val="00DA246F"/>
    <w:rsid w:val="00E352E1"/>
    <w:rsid w:val="00E52712"/>
    <w:rsid w:val="00E74418"/>
    <w:rsid w:val="00E76B05"/>
    <w:rsid w:val="00EC67A7"/>
    <w:rsid w:val="00EC6AC2"/>
    <w:rsid w:val="00EF5BDB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D4F06"/>
  <w15:docId w15:val="{8DB3904C-2D59-4680-BE2A-E495B39B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C3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CC3"/>
    <w:pPr>
      <w:tabs>
        <w:tab w:val="center" w:pos="4320"/>
        <w:tab w:val="right" w:pos="8640"/>
      </w:tabs>
      <w:spacing w:after="0"/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paragraph" w:customStyle="1" w:styleId="TutorialHead">
    <w:name w:val="Tutorial Head"/>
    <w:basedOn w:val="Normal"/>
    <w:uiPriority w:val="99"/>
    <w:rsid w:val="00BC17F0"/>
    <w:pPr>
      <w:tabs>
        <w:tab w:val="left" w:pos="-1440"/>
        <w:tab w:val="left" w:pos="-720"/>
        <w:tab w:val="left" w:pos="504"/>
        <w:tab w:val="left" w:pos="720"/>
        <w:tab w:val="left" w:pos="1008"/>
        <w:tab w:val="left" w:pos="1440"/>
        <w:tab w:val="left" w:pos="1512"/>
        <w:tab w:val="left" w:pos="2016"/>
        <w:tab w:val="left" w:pos="2160"/>
        <w:tab w:val="left" w:pos="2520"/>
        <w:tab w:val="left" w:pos="2880"/>
        <w:tab w:val="left" w:pos="3024"/>
        <w:tab w:val="left" w:pos="3528"/>
        <w:tab w:val="left" w:pos="3600"/>
        <w:tab w:val="left" w:pos="4032"/>
        <w:tab w:val="left" w:pos="4320"/>
        <w:tab w:val="left" w:pos="4536"/>
        <w:tab w:val="left" w:pos="5040"/>
        <w:tab w:val="left" w:pos="5544"/>
        <w:tab w:val="left" w:pos="5760"/>
        <w:tab w:val="left" w:pos="6048"/>
        <w:tab w:val="left" w:pos="6480"/>
        <w:tab w:val="left" w:pos="6552"/>
        <w:tab w:val="left" w:pos="7056"/>
        <w:tab w:val="left" w:pos="7200"/>
        <w:tab w:val="left" w:pos="7560"/>
        <w:tab w:val="left" w:pos="7920"/>
        <w:tab w:val="left" w:pos="8064"/>
        <w:tab w:val="left" w:pos="8568"/>
        <w:tab w:val="left" w:pos="8640"/>
        <w:tab w:val="left" w:pos="9072"/>
        <w:tab w:val="left" w:pos="9360"/>
        <w:tab w:val="left" w:pos="9576"/>
        <w:tab w:val="left" w:pos="10080"/>
      </w:tabs>
      <w:spacing w:before="480" w:after="240" w:line="256" w:lineRule="auto"/>
      <w:jc w:val="center"/>
    </w:pPr>
    <w:rPr>
      <w:rFonts w:ascii="Calibri" w:eastAsia="Calibri" w:hAnsi="Calibri" w:cs="QuaySansEF Black"/>
      <w:b/>
      <w:sz w:val="30"/>
      <w:szCs w:val="30"/>
    </w:rPr>
  </w:style>
  <w:style w:type="paragraph" w:customStyle="1" w:styleId="TutorialText">
    <w:name w:val="Tutorial Text"/>
    <w:basedOn w:val="Normal"/>
    <w:uiPriority w:val="99"/>
    <w:rsid w:val="00BC17F0"/>
    <w:pPr>
      <w:tabs>
        <w:tab w:val="left" w:pos="302"/>
        <w:tab w:val="left" w:pos="605"/>
        <w:tab w:val="left" w:pos="907"/>
        <w:tab w:val="left" w:pos="1210"/>
        <w:tab w:val="left" w:pos="1512"/>
        <w:tab w:val="left" w:pos="1814"/>
        <w:tab w:val="left" w:pos="2117"/>
        <w:tab w:val="left" w:pos="2419"/>
        <w:tab w:val="left" w:pos="2722"/>
        <w:tab w:val="left" w:pos="3024"/>
        <w:tab w:val="left" w:pos="3326"/>
        <w:tab w:val="left" w:pos="3629"/>
        <w:tab w:val="left" w:pos="3931"/>
        <w:tab w:val="left" w:pos="4234"/>
        <w:tab w:val="left" w:pos="4536"/>
        <w:tab w:val="left" w:pos="4838"/>
        <w:tab w:val="left" w:pos="5141"/>
        <w:tab w:val="left" w:pos="5443"/>
        <w:tab w:val="left" w:pos="5746"/>
        <w:tab w:val="left" w:pos="6048"/>
        <w:tab w:val="left" w:pos="6350"/>
        <w:tab w:val="left" w:pos="6653"/>
        <w:tab w:val="left" w:pos="6955"/>
        <w:tab w:val="left" w:pos="7258"/>
        <w:tab w:val="left" w:pos="7560"/>
        <w:tab w:val="left" w:pos="7862"/>
        <w:tab w:val="left" w:pos="8165"/>
        <w:tab w:val="left" w:pos="8467"/>
        <w:tab w:val="left" w:pos="8770"/>
        <w:tab w:val="left" w:pos="9072"/>
        <w:tab w:val="left" w:pos="9374"/>
        <w:tab w:val="left" w:pos="9677"/>
        <w:tab w:val="left" w:pos="9979"/>
        <w:tab w:val="left" w:pos="10282"/>
      </w:tabs>
      <w:spacing w:after="160" w:line="256" w:lineRule="auto"/>
    </w:pPr>
    <w:rPr>
      <w:rFonts w:ascii="Calibri" w:eastAsia="Calibri" w:hAnsi="Calibri" w:cs="QuaySansEF Book"/>
      <w:color w:val="000000"/>
      <w:sz w:val="22"/>
      <w:szCs w:val="20"/>
    </w:rPr>
  </w:style>
  <w:style w:type="paragraph" w:customStyle="1" w:styleId="TutorialTextIndent">
    <w:name w:val="Tutorial Text Indent"/>
    <w:basedOn w:val="Normal"/>
    <w:uiPriority w:val="99"/>
    <w:rsid w:val="00BC17F0"/>
    <w:pPr>
      <w:tabs>
        <w:tab w:val="left" w:pos="302"/>
        <w:tab w:val="left" w:pos="605"/>
        <w:tab w:val="left" w:pos="907"/>
        <w:tab w:val="left" w:pos="1210"/>
        <w:tab w:val="left" w:pos="1512"/>
        <w:tab w:val="left" w:pos="1814"/>
        <w:tab w:val="left" w:pos="2117"/>
        <w:tab w:val="left" w:pos="2419"/>
        <w:tab w:val="left" w:pos="2722"/>
        <w:tab w:val="left" w:pos="3024"/>
        <w:tab w:val="left" w:pos="3326"/>
        <w:tab w:val="left" w:pos="3629"/>
        <w:tab w:val="left" w:pos="3931"/>
        <w:tab w:val="left" w:pos="4234"/>
        <w:tab w:val="left" w:pos="4536"/>
        <w:tab w:val="left" w:pos="4838"/>
        <w:tab w:val="left" w:pos="5141"/>
        <w:tab w:val="left" w:pos="5443"/>
        <w:tab w:val="left" w:pos="5746"/>
        <w:tab w:val="left" w:pos="6048"/>
        <w:tab w:val="left" w:pos="6350"/>
        <w:tab w:val="left" w:pos="6653"/>
        <w:tab w:val="left" w:pos="6955"/>
        <w:tab w:val="left" w:pos="7258"/>
        <w:tab w:val="left" w:pos="7560"/>
        <w:tab w:val="left" w:pos="7862"/>
        <w:tab w:val="left" w:pos="8165"/>
        <w:tab w:val="left" w:pos="8467"/>
        <w:tab w:val="left" w:pos="8770"/>
        <w:tab w:val="left" w:pos="9072"/>
        <w:tab w:val="left" w:pos="9374"/>
        <w:tab w:val="left" w:pos="9677"/>
        <w:tab w:val="left" w:pos="9979"/>
        <w:tab w:val="left" w:pos="10282"/>
      </w:tabs>
      <w:spacing w:after="160" w:line="256" w:lineRule="auto"/>
      <w:ind w:firstLine="240"/>
    </w:pPr>
    <w:rPr>
      <w:rFonts w:ascii="Calibri" w:eastAsia="Calibri" w:hAnsi="Calibri" w:cs="QuaySansEF Book"/>
      <w:sz w:val="22"/>
      <w:szCs w:val="20"/>
    </w:rPr>
  </w:style>
  <w:style w:type="character" w:customStyle="1" w:styleId="Italic">
    <w:name w:val="Italic"/>
    <w:uiPriority w:val="99"/>
    <w:rsid w:val="00BC17F0"/>
    <w:rPr>
      <w:rFonts w:ascii="Times New Roman" w:hAnsi="Times New Roman" w:cs="ITC Garamond Std Lt" w:hint="default"/>
      <w:i/>
      <w:iCs/>
      <w:strike w:val="0"/>
      <w:dstrike w:val="0"/>
      <w:color w:val="000000"/>
      <w:spacing w:val="0"/>
      <w:w w:val="100"/>
      <w:position w:val="0"/>
      <w:sz w:val="24"/>
      <w:szCs w:val="20"/>
      <w:u w:val="none"/>
      <w:effect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1C58-7945-401E-9E6F-6E634E06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3346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Aruna Ramalingam</dc:creator>
  <cp:lastModifiedBy>Leah Fargotstein</cp:lastModifiedBy>
  <cp:revision>5</cp:revision>
  <dcterms:created xsi:type="dcterms:W3CDTF">2018-02-22T21:13:00Z</dcterms:created>
  <dcterms:modified xsi:type="dcterms:W3CDTF">2018-04-23T19:59:00Z</dcterms:modified>
</cp:coreProperties>
</file>