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3B21AC" w:rsidRPr="00D932A9" w:rsidRDefault="004035CE" w:rsidP="00904E9E">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904E9E" w:rsidRDefault="00904E9E" w:rsidP="00904E9E"/>
    <w:p w:rsidR="00C579C1" w:rsidRDefault="00C579C1" w:rsidP="00904E9E">
      <w:pPr>
        <w:rPr>
          <w:b/>
        </w:rPr>
      </w:pPr>
    </w:p>
    <w:p w:rsidR="00C579C1" w:rsidRPr="00C579C1" w:rsidRDefault="00C579C1" w:rsidP="00C579C1">
      <w:pPr>
        <w:pStyle w:val="Heading3"/>
      </w:pPr>
      <w:r w:rsidRPr="00C579C1">
        <w:t>Preface by Katherine S. van Wormer</w:t>
      </w:r>
    </w:p>
    <w:p w:rsidR="00A52EF5" w:rsidRPr="00961687" w:rsidRDefault="00A52EF5" w:rsidP="00FC1783">
      <w:pPr>
        <w:pStyle w:val="Default"/>
        <w:rPr>
          <w:rFonts w:ascii="Times New Roman" w:hAnsi="Times New Roman" w:cs="Times New Roman"/>
        </w:rPr>
      </w:pPr>
    </w:p>
    <w:p w:rsidR="00A52EF5" w:rsidRPr="00961687" w:rsidRDefault="004035CE" w:rsidP="001611D6">
      <w:pPr>
        <w:pStyle w:val="Pa16"/>
        <w:spacing w:before="120"/>
        <w:rPr>
          <w:rFonts w:ascii="Times New Roman" w:hAnsi="Times New Roman" w:cs="Times New Roman"/>
        </w:rPr>
      </w:pPr>
      <w:r w:rsidRPr="00961687">
        <w:rPr>
          <w:rFonts w:ascii="Times New Roman" w:hAnsi="Times New Roman" w:cs="Times New Roman"/>
        </w:rPr>
        <w:t>This instructor's guide</w:t>
      </w:r>
      <w:r w:rsidR="00A52EF5" w:rsidRPr="00961687">
        <w:rPr>
          <w:rFonts w:ascii="Times New Roman" w:hAnsi="Times New Roman" w:cs="Times New Roman"/>
        </w:rPr>
        <w:t xml:space="preserve"> </w:t>
      </w:r>
      <w:r w:rsidR="001611D6">
        <w:rPr>
          <w:rFonts w:ascii="Times New Roman" w:hAnsi="Times New Roman" w:cs="Times New Roman"/>
        </w:rPr>
        <w:t xml:space="preserve">for </w:t>
      </w:r>
      <w:r w:rsidR="001611D6" w:rsidRPr="00337814">
        <w:rPr>
          <w:rFonts w:ascii="Times New Roman" w:hAnsi="Times New Roman" w:cs="Times New Roman"/>
          <w:bCs/>
          <w:i/>
          <w:color w:val="000000"/>
        </w:rPr>
        <w:t>S</w:t>
      </w:r>
      <w:r w:rsidR="001611D6" w:rsidRPr="00CD3EE5">
        <w:rPr>
          <w:rFonts w:ascii="Times New Roman" w:hAnsi="Times New Roman" w:cs="Times New Roman"/>
          <w:i/>
        </w:rPr>
        <w:t>ocial Welfare Policy for a Sustainable Future: T</w:t>
      </w:r>
      <w:bookmarkStart w:id="0" w:name="_GoBack"/>
      <w:bookmarkEnd w:id="0"/>
      <w:r w:rsidR="001611D6" w:rsidRPr="00CD3EE5">
        <w:rPr>
          <w:rFonts w:ascii="Times New Roman" w:hAnsi="Times New Roman" w:cs="Times New Roman"/>
          <w:i/>
        </w:rPr>
        <w:t xml:space="preserve">he U.S. in Global </w:t>
      </w:r>
      <w:r w:rsidR="00337814">
        <w:rPr>
          <w:rFonts w:ascii="Times New Roman" w:hAnsi="Times New Roman" w:cs="Times New Roman"/>
          <w:i/>
        </w:rPr>
        <w:t>Context</w:t>
      </w:r>
      <w:r w:rsidR="001611D6">
        <w:rPr>
          <w:rFonts w:ascii="Times New Roman" w:hAnsi="Times New Roman" w:cs="Times New Roman"/>
          <w:i/>
        </w:rPr>
        <w:t xml:space="preserve"> </w:t>
      </w:r>
      <w:r w:rsidR="00A52EF5" w:rsidRPr="00961687">
        <w:rPr>
          <w:rFonts w:ascii="Times New Roman" w:hAnsi="Times New Roman" w:cs="Times New Roman"/>
        </w:rPr>
        <w:t xml:space="preserve">is designed both as a resource to aid in program accreditation and </w:t>
      </w:r>
      <w:r w:rsidR="00961687">
        <w:rPr>
          <w:rFonts w:ascii="Times New Roman" w:hAnsi="Times New Roman" w:cs="Times New Roman"/>
        </w:rPr>
        <w:t>as a resource</w:t>
      </w:r>
      <w:r w:rsidR="00A52EF5" w:rsidRPr="00961687">
        <w:rPr>
          <w:rFonts w:ascii="Times New Roman" w:hAnsi="Times New Roman" w:cs="Times New Roman"/>
        </w:rPr>
        <w:t xml:space="preserve"> that contains creative exercises and dynamic class discussions on policy issues of the day. The 2015 Educational Policy and Accreditation Standards (EPAS) </w:t>
      </w:r>
      <w:r w:rsidR="00337814">
        <w:rPr>
          <w:rFonts w:ascii="Times New Roman" w:hAnsi="Times New Roman" w:cs="Times New Roman"/>
        </w:rPr>
        <w:t>spells</w:t>
      </w:r>
      <w:r w:rsidR="00A52EF5" w:rsidRPr="00961687">
        <w:rPr>
          <w:rFonts w:ascii="Times New Roman" w:hAnsi="Times New Roman" w:cs="Times New Roman"/>
        </w:rPr>
        <w:t xml:space="preserve"> out 9 core competencies that s</w:t>
      </w:r>
      <w:r w:rsidR="00461216" w:rsidRPr="00961687">
        <w:rPr>
          <w:rFonts w:ascii="Times New Roman" w:hAnsi="Times New Roman" w:cs="Times New Roman"/>
        </w:rPr>
        <w:t>ocial work programs must teach</w:t>
      </w:r>
      <w:r w:rsidR="00A52EF5" w:rsidRPr="00961687">
        <w:rPr>
          <w:rFonts w:ascii="Times New Roman" w:hAnsi="Times New Roman" w:cs="Times New Roman"/>
        </w:rPr>
        <w:t xml:space="preserve"> for accreditation. </w:t>
      </w:r>
      <w:r w:rsidR="00461216" w:rsidRPr="00961687">
        <w:rPr>
          <w:rFonts w:ascii="Times New Roman" w:hAnsi="Times New Roman" w:cs="Times New Roman"/>
        </w:rPr>
        <w:t xml:space="preserve">To aid users of Social Welfare Policy for a Sustainable Future meet these standards and to help simplify the task of aligning sections of the book with the core competencies, we provide a chart showing where in each of the 12 chapters of the text the required content is covered. </w:t>
      </w:r>
      <w:r w:rsidR="00196A18">
        <w:rPr>
          <w:rFonts w:ascii="Times New Roman" w:hAnsi="Times New Roman" w:cs="Times New Roman"/>
        </w:rPr>
        <w:t>This chart is found on the SAGE website</w:t>
      </w:r>
      <w:r w:rsidR="004B5789">
        <w:rPr>
          <w:rFonts w:ascii="Times New Roman" w:hAnsi="Times New Roman" w:cs="Times New Roman"/>
        </w:rPr>
        <w:t xml:space="preserve"> under Instructor Resources</w:t>
      </w:r>
      <w:r w:rsidR="00C579C1">
        <w:rPr>
          <w:rFonts w:ascii="Times New Roman" w:hAnsi="Times New Roman" w:cs="Times New Roman"/>
        </w:rPr>
        <w:t xml:space="preserve"> (click </w:t>
      </w:r>
      <w:hyperlink r:id="rId7" w:history="1">
        <w:r w:rsidR="00C579C1" w:rsidRPr="00C579C1">
          <w:rPr>
            <w:rStyle w:val="Hyperlink"/>
            <w:rFonts w:ascii="Times New Roman" w:hAnsi="Times New Roman" w:cs="Times New Roman"/>
          </w:rPr>
          <w:t>here</w:t>
        </w:r>
      </w:hyperlink>
      <w:r w:rsidR="00C579C1">
        <w:rPr>
          <w:rFonts w:ascii="Times New Roman" w:hAnsi="Times New Roman" w:cs="Times New Roman"/>
        </w:rPr>
        <w:t xml:space="preserve"> to access)</w:t>
      </w:r>
      <w:r w:rsidR="00196A18">
        <w:rPr>
          <w:rFonts w:ascii="Times New Roman" w:hAnsi="Times New Roman" w:cs="Times New Roman"/>
        </w:rPr>
        <w:t xml:space="preserve">. </w:t>
      </w:r>
      <w:r w:rsidR="004B5789">
        <w:rPr>
          <w:rFonts w:ascii="Times New Roman" w:hAnsi="Times New Roman" w:cs="Times New Roman"/>
        </w:rPr>
        <w:t>T</w:t>
      </w:r>
      <w:r w:rsidR="0010143A">
        <w:rPr>
          <w:rFonts w:ascii="Times New Roman" w:hAnsi="Times New Roman" w:cs="Times New Roman"/>
        </w:rPr>
        <w:t>his</w:t>
      </w:r>
      <w:r w:rsidR="00461216" w:rsidRPr="00961687">
        <w:rPr>
          <w:rFonts w:ascii="Times New Roman" w:hAnsi="Times New Roman" w:cs="Times New Roman"/>
        </w:rPr>
        <w:t xml:space="preserve"> manual </w:t>
      </w:r>
      <w:r w:rsidR="004B5789">
        <w:rPr>
          <w:rFonts w:ascii="Times New Roman" w:hAnsi="Times New Roman" w:cs="Times New Roman"/>
        </w:rPr>
        <w:t xml:space="preserve">builds on the chart with more detailed content; it </w:t>
      </w:r>
      <w:r w:rsidR="00461216" w:rsidRPr="00961687">
        <w:rPr>
          <w:rFonts w:ascii="Times New Roman" w:hAnsi="Times New Roman" w:cs="Times New Roman"/>
        </w:rPr>
        <w:t>contains a c</w:t>
      </w:r>
      <w:r w:rsidR="004B5789">
        <w:rPr>
          <w:rFonts w:ascii="Times New Roman" w:hAnsi="Times New Roman" w:cs="Times New Roman"/>
        </w:rPr>
        <w:t>hapter-by-chapter guide to show the specific location</w:t>
      </w:r>
      <w:r w:rsidR="00196A18">
        <w:rPr>
          <w:rFonts w:ascii="Times New Roman" w:hAnsi="Times New Roman" w:cs="Times New Roman"/>
        </w:rPr>
        <w:t xml:space="preserve"> within the text where</w:t>
      </w:r>
      <w:r w:rsidR="0010143A">
        <w:rPr>
          <w:rFonts w:ascii="Times New Roman" w:hAnsi="Times New Roman" w:cs="Times New Roman"/>
        </w:rPr>
        <w:t xml:space="preserve"> coverage</w:t>
      </w:r>
      <w:r w:rsidR="004B5789">
        <w:rPr>
          <w:rFonts w:ascii="Times New Roman" w:hAnsi="Times New Roman" w:cs="Times New Roman"/>
        </w:rPr>
        <w:t xml:space="preserve"> of the competency behaviors</w:t>
      </w:r>
      <w:r w:rsidR="00196A18">
        <w:rPr>
          <w:rFonts w:ascii="Times New Roman" w:hAnsi="Times New Roman" w:cs="Times New Roman"/>
        </w:rPr>
        <w:t>, for example human rights issues and environmental justice,</w:t>
      </w:r>
      <w:r w:rsidR="00461216" w:rsidRPr="00961687">
        <w:rPr>
          <w:rFonts w:ascii="Times New Roman" w:hAnsi="Times New Roman" w:cs="Times New Roman"/>
        </w:rPr>
        <w:t xml:space="preserve"> </w:t>
      </w:r>
      <w:r w:rsidR="0010143A">
        <w:rPr>
          <w:rFonts w:ascii="Times New Roman" w:hAnsi="Times New Roman" w:cs="Times New Roman"/>
        </w:rPr>
        <w:t xml:space="preserve">is provided. </w:t>
      </w:r>
      <w:r w:rsidR="004B5789">
        <w:rPr>
          <w:rFonts w:ascii="Times New Roman" w:hAnsi="Times New Roman" w:cs="Times New Roman"/>
        </w:rPr>
        <w:t xml:space="preserve">Included with </w:t>
      </w:r>
      <w:r w:rsidR="00196A18">
        <w:rPr>
          <w:rFonts w:ascii="Times New Roman" w:hAnsi="Times New Roman" w:cs="Times New Roman"/>
        </w:rPr>
        <w:t xml:space="preserve">each </w:t>
      </w:r>
      <w:r w:rsidR="004B5789">
        <w:rPr>
          <w:rFonts w:ascii="Times New Roman" w:hAnsi="Times New Roman" w:cs="Times New Roman"/>
        </w:rPr>
        <w:t>guide to the chapter are</w:t>
      </w:r>
      <w:r w:rsidR="00196A18">
        <w:rPr>
          <w:rFonts w:ascii="Times New Roman" w:hAnsi="Times New Roman" w:cs="Times New Roman"/>
        </w:rPr>
        <w:t xml:space="preserve"> </w:t>
      </w:r>
      <w:r w:rsidR="00461216" w:rsidRPr="00961687">
        <w:rPr>
          <w:rFonts w:ascii="Times New Roman" w:hAnsi="Times New Roman" w:cs="Times New Roman"/>
        </w:rPr>
        <w:t xml:space="preserve">hands-on exercises that can serve to operationalize </w:t>
      </w:r>
      <w:r w:rsidR="004B5789">
        <w:rPr>
          <w:rFonts w:ascii="Times New Roman" w:hAnsi="Times New Roman" w:cs="Times New Roman"/>
        </w:rPr>
        <w:t xml:space="preserve">the competencies that make them relevant and meaningful to the social work student. </w:t>
      </w:r>
      <w:r w:rsidR="00F80192" w:rsidRPr="00961687">
        <w:rPr>
          <w:rFonts w:ascii="Times New Roman" w:hAnsi="Times New Roman" w:cs="Times New Roman"/>
        </w:rPr>
        <w:t xml:space="preserve">These exercises have been inspired by descriptions of innovative projects contained in the textbook, and by media reports, the co-authors' personal initiatives, and a review of the practice literature. </w:t>
      </w:r>
    </w:p>
    <w:p w:rsidR="006E39E2" w:rsidRPr="00961687" w:rsidRDefault="006E39E2" w:rsidP="00FC1783">
      <w:pPr>
        <w:pStyle w:val="Default"/>
        <w:rPr>
          <w:rFonts w:ascii="Times New Roman" w:hAnsi="Times New Roman" w:cs="Times New Roman"/>
        </w:rPr>
      </w:pPr>
    </w:p>
    <w:p w:rsidR="004B5789" w:rsidRDefault="00206C46" w:rsidP="00453ED5">
      <w:r>
        <w:t xml:space="preserve">Readers of </w:t>
      </w:r>
      <w:r w:rsidRPr="00206C46">
        <w:rPr>
          <w:i/>
        </w:rPr>
        <w:t>Social Welfare Policy for a Sustainable Future</w:t>
      </w:r>
      <w:r>
        <w:t xml:space="preserve"> will note that the text </w:t>
      </w:r>
      <w:r w:rsidR="001E2292">
        <w:t>closely adheres to the following standard for accreditation as spelled out in the 2015 CSWE EPAS</w:t>
      </w:r>
      <w:r w:rsidR="00E85830">
        <w:t xml:space="preserve"> for the policy curriculum</w:t>
      </w:r>
      <w:r w:rsidR="001E2292">
        <w:t xml:space="preserve">: </w:t>
      </w:r>
    </w:p>
    <w:p w:rsidR="00453ED5" w:rsidRPr="00453ED5" w:rsidRDefault="00453ED5" w:rsidP="00453ED5">
      <w:pPr>
        <w:autoSpaceDE w:val="0"/>
        <w:autoSpaceDN w:val="0"/>
        <w:adjustRightInd w:val="0"/>
        <w:rPr>
          <w:rFonts w:eastAsiaTheme="minorHAnsi"/>
          <w:color w:val="000000"/>
        </w:rPr>
      </w:pPr>
      <w:r>
        <w:rPr>
          <w:rFonts w:eastAsiaTheme="minorHAnsi"/>
          <w:b/>
          <w:bCs/>
          <w:color w:val="000000"/>
        </w:rPr>
        <w:tab/>
      </w:r>
      <w:r w:rsidRPr="00453ED5">
        <w:rPr>
          <w:rFonts w:eastAsiaTheme="minorHAnsi"/>
          <w:b/>
          <w:bCs/>
          <w:color w:val="000000"/>
        </w:rPr>
        <w:t xml:space="preserve">Competency 5 –Engage in Policy Practice </w:t>
      </w:r>
    </w:p>
    <w:p w:rsidR="00453ED5" w:rsidRDefault="00453ED5" w:rsidP="00453ED5">
      <w:pPr>
        <w:rPr>
          <w:rFonts w:eastAsiaTheme="minorHAnsi"/>
          <w:color w:val="000000"/>
        </w:rPr>
      </w:pPr>
      <w:r>
        <w:rPr>
          <w:rFonts w:eastAsiaTheme="minorHAnsi"/>
          <w:color w:val="000000"/>
        </w:rPr>
        <w:tab/>
      </w:r>
      <w:r w:rsidRPr="00453ED5">
        <w:rPr>
          <w:rFonts w:eastAsiaTheme="minorHAnsi"/>
          <w:color w:val="000000"/>
        </w:rPr>
        <w:t xml:space="preserve">Social workers understand that human rights and social justice, as well as social welfare </w:t>
      </w:r>
      <w:r>
        <w:rPr>
          <w:rFonts w:eastAsiaTheme="minorHAnsi"/>
          <w:color w:val="000000"/>
        </w:rPr>
        <w:tab/>
      </w:r>
      <w:r w:rsidRPr="00453ED5">
        <w:rPr>
          <w:rFonts w:eastAsiaTheme="minorHAnsi"/>
          <w:color w:val="000000"/>
        </w:rPr>
        <w:t xml:space="preserve">and services, are mediated by policy and its implementation at the federal, state, and local </w:t>
      </w:r>
      <w:r>
        <w:rPr>
          <w:rFonts w:eastAsiaTheme="minorHAnsi"/>
          <w:color w:val="000000"/>
        </w:rPr>
        <w:tab/>
      </w:r>
      <w:r w:rsidRPr="00453ED5">
        <w:rPr>
          <w:rFonts w:eastAsiaTheme="minorHAnsi"/>
          <w:color w:val="000000"/>
        </w:rPr>
        <w:t xml:space="preserve">levels. Social workers understand the history and current structures of social policies and </w:t>
      </w:r>
      <w:r>
        <w:rPr>
          <w:rFonts w:eastAsiaTheme="minorHAnsi"/>
          <w:color w:val="000000"/>
        </w:rPr>
        <w:tab/>
      </w:r>
      <w:r w:rsidRPr="00453ED5">
        <w:rPr>
          <w:rFonts w:eastAsiaTheme="minorHAnsi"/>
          <w:color w:val="000000"/>
        </w:rPr>
        <w:t xml:space="preserve">services, the role of policy in service delivery, and the role of practice in policy </w:t>
      </w:r>
      <w:r>
        <w:rPr>
          <w:rFonts w:eastAsiaTheme="minorHAnsi"/>
          <w:color w:val="000000"/>
        </w:rPr>
        <w:tab/>
      </w:r>
      <w:r w:rsidRPr="00453ED5">
        <w:rPr>
          <w:rFonts w:eastAsiaTheme="minorHAnsi"/>
          <w:color w:val="000000"/>
        </w:rPr>
        <w:t xml:space="preserve">development. Social workers understand their role in policy development and </w:t>
      </w:r>
      <w:r>
        <w:rPr>
          <w:rFonts w:eastAsiaTheme="minorHAnsi"/>
          <w:color w:val="000000"/>
        </w:rPr>
        <w:tab/>
      </w:r>
      <w:r w:rsidRPr="00453ED5">
        <w:rPr>
          <w:rFonts w:eastAsiaTheme="minorHAnsi"/>
          <w:color w:val="000000"/>
        </w:rPr>
        <w:t xml:space="preserve">implementation within their practice settings at the micro, mezzo, and macro levels and </w:t>
      </w:r>
      <w:r>
        <w:rPr>
          <w:rFonts w:eastAsiaTheme="minorHAnsi"/>
          <w:color w:val="000000"/>
        </w:rPr>
        <w:tab/>
      </w:r>
      <w:r w:rsidRPr="00453ED5">
        <w:rPr>
          <w:rFonts w:eastAsiaTheme="minorHAnsi"/>
          <w:color w:val="000000"/>
        </w:rPr>
        <w:t xml:space="preserve">they actively engage in policy practice to effect change within those settings. Social </w:t>
      </w:r>
      <w:r>
        <w:rPr>
          <w:rFonts w:eastAsiaTheme="minorHAnsi"/>
          <w:color w:val="000000"/>
        </w:rPr>
        <w:tab/>
      </w:r>
      <w:r w:rsidRPr="00453ED5">
        <w:rPr>
          <w:rFonts w:eastAsiaTheme="minorHAnsi"/>
          <w:color w:val="000000"/>
        </w:rPr>
        <w:t xml:space="preserve">workers recognize and understand the historical, social, cultural, economic, </w:t>
      </w:r>
      <w:r>
        <w:rPr>
          <w:rFonts w:eastAsiaTheme="minorHAnsi"/>
          <w:color w:val="000000"/>
        </w:rPr>
        <w:tab/>
      </w:r>
      <w:r w:rsidRPr="00453ED5">
        <w:rPr>
          <w:rFonts w:eastAsiaTheme="minorHAnsi"/>
          <w:color w:val="000000"/>
        </w:rPr>
        <w:t xml:space="preserve">organizational, environmental, and global influences that affect social policy. They are </w:t>
      </w:r>
      <w:r>
        <w:rPr>
          <w:rFonts w:eastAsiaTheme="minorHAnsi"/>
          <w:color w:val="000000"/>
        </w:rPr>
        <w:tab/>
      </w:r>
      <w:r w:rsidRPr="00453ED5">
        <w:rPr>
          <w:rFonts w:eastAsiaTheme="minorHAnsi"/>
          <w:color w:val="000000"/>
        </w:rPr>
        <w:t>also knowledgeable about policy formulation, analysis, implementation, and evaluation.</w:t>
      </w:r>
    </w:p>
    <w:p w:rsidR="00453ED5" w:rsidRPr="00453ED5" w:rsidRDefault="00453ED5" w:rsidP="00453ED5">
      <w:r>
        <w:rPr>
          <w:rFonts w:eastAsiaTheme="minorHAnsi"/>
          <w:color w:val="000000"/>
        </w:rPr>
        <w:tab/>
        <w:t>(CSWE EPAS, p.6)</w:t>
      </w:r>
    </w:p>
    <w:p w:rsidR="006E39E2" w:rsidRPr="00961687" w:rsidRDefault="006E39E2" w:rsidP="00FC1783">
      <w:pPr>
        <w:pStyle w:val="Default"/>
        <w:rPr>
          <w:rFonts w:ascii="Times New Roman" w:hAnsi="Times New Roman" w:cs="Times New Roman"/>
        </w:rPr>
      </w:pPr>
    </w:p>
    <w:p w:rsidR="00CE2A42" w:rsidRPr="00961687" w:rsidRDefault="004B3BFD" w:rsidP="006E39E2">
      <w:pPr>
        <w:pStyle w:val="Default"/>
        <w:rPr>
          <w:rFonts w:ascii="Times New Roman" w:hAnsi="Times New Roman" w:cs="Times New Roman"/>
        </w:rPr>
      </w:pPr>
      <w:r>
        <w:tab/>
      </w:r>
      <w:r w:rsidR="00E85830">
        <w:rPr>
          <w:rFonts w:ascii="Times New Roman" w:hAnsi="Times New Roman" w:cs="Times New Roman"/>
        </w:rPr>
        <w:t xml:space="preserve">Note the reference above to </w:t>
      </w:r>
      <w:r w:rsidR="00F27CA2">
        <w:rPr>
          <w:rFonts w:ascii="Times New Roman" w:hAnsi="Times New Roman" w:cs="Times New Roman"/>
        </w:rPr>
        <w:t>"th</w:t>
      </w:r>
      <w:r w:rsidR="00F27CA2" w:rsidRPr="00453ED5">
        <w:rPr>
          <w:rFonts w:ascii="Times New Roman" w:hAnsi="Times New Roman" w:cs="Times New Roman"/>
        </w:rPr>
        <w:t>e historical, social, cultural, economic, organizational, environmental, and global influences that affect social policy</w:t>
      </w:r>
      <w:r w:rsidR="00E85830">
        <w:rPr>
          <w:rFonts w:ascii="Times New Roman" w:hAnsi="Times New Roman" w:cs="Times New Roman"/>
        </w:rPr>
        <w:t>." Social Welfare Policy for a Sustainable Future covers all these influences. We co-authors are especially excited over CSWE's introduction of</w:t>
      </w:r>
      <w:r w:rsidR="00B523EE">
        <w:rPr>
          <w:rFonts w:ascii="Times New Roman" w:hAnsi="Times New Roman" w:cs="Times New Roman"/>
        </w:rPr>
        <w:t xml:space="preserve"> Competency 3</w:t>
      </w:r>
      <w:r w:rsidR="00E85830">
        <w:rPr>
          <w:rFonts w:ascii="Times New Roman" w:hAnsi="Times New Roman" w:cs="Times New Roman"/>
        </w:rPr>
        <w:t xml:space="preserve"> which</w:t>
      </w:r>
      <w:r w:rsidR="00B523EE">
        <w:rPr>
          <w:rFonts w:ascii="Times New Roman" w:hAnsi="Times New Roman" w:cs="Times New Roman"/>
        </w:rPr>
        <w:t xml:space="preserve"> directs social work educators to: "a</w:t>
      </w:r>
      <w:r w:rsidR="00B523EE" w:rsidRPr="00961687">
        <w:rPr>
          <w:rFonts w:ascii="Times New Roman" w:hAnsi="Times New Roman" w:cs="Times New Roman"/>
        </w:rPr>
        <w:t>dvance human rights and social, economic, and environmental justice</w:t>
      </w:r>
      <w:r w:rsidR="00B523EE">
        <w:rPr>
          <w:rFonts w:ascii="Times New Roman" w:hAnsi="Times New Roman" w:cs="Times New Roman"/>
        </w:rPr>
        <w:t>" (p. 5).</w:t>
      </w:r>
      <w:r w:rsidR="00F27CA2">
        <w:rPr>
          <w:rFonts w:ascii="Times New Roman" w:hAnsi="Times New Roman" w:cs="Times New Roman"/>
        </w:rPr>
        <w:t xml:space="preserve"> </w:t>
      </w:r>
      <w:r w:rsidR="00E85830">
        <w:rPr>
          <w:rFonts w:ascii="Times New Roman" w:hAnsi="Times New Roman" w:cs="Times New Roman"/>
        </w:rPr>
        <w:t xml:space="preserve">Human rights and environmental justice are both major themes of our text. </w:t>
      </w:r>
      <w:r w:rsidR="001E2292">
        <w:rPr>
          <w:rFonts w:ascii="Times New Roman" w:hAnsi="Times New Roman" w:cs="Times New Roman"/>
        </w:rPr>
        <w:t>With refere</w:t>
      </w:r>
      <w:r w:rsidR="002A0CB5">
        <w:rPr>
          <w:rFonts w:ascii="Times New Roman" w:hAnsi="Times New Roman" w:cs="Times New Roman"/>
        </w:rPr>
        <w:t xml:space="preserve">nce to human rights, the reader will </w:t>
      </w:r>
      <w:r w:rsidR="00B226A2">
        <w:rPr>
          <w:rFonts w:ascii="Times New Roman" w:hAnsi="Times New Roman" w:cs="Times New Roman"/>
        </w:rPr>
        <w:t>find</w:t>
      </w:r>
      <w:r w:rsidR="002A0CB5">
        <w:rPr>
          <w:rFonts w:ascii="Times New Roman" w:hAnsi="Times New Roman" w:cs="Times New Roman"/>
        </w:rPr>
        <w:t xml:space="preserve"> that </w:t>
      </w:r>
      <w:r w:rsidR="00E85830">
        <w:rPr>
          <w:rFonts w:ascii="Times New Roman" w:hAnsi="Times New Roman" w:cs="Times New Roman"/>
        </w:rPr>
        <w:t xml:space="preserve">human rights content is infused throughout the text, that </w:t>
      </w:r>
      <w:r w:rsidRPr="000B0C9E">
        <w:rPr>
          <w:rFonts w:ascii="Times New Roman" w:hAnsi="Times New Roman" w:cs="Times New Roman"/>
        </w:rPr>
        <w:t xml:space="preserve">one chapter </w:t>
      </w:r>
      <w:r w:rsidR="002A0CB5">
        <w:rPr>
          <w:rFonts w:ascii="Times New Roman" w:hAnsi="Times New Roman" w:cs="Times New Roman"/>
        </w:rPr>
        <w:t xml:space="preserve">is </w:t>
      </w:r>
      <w:r w:rsidRPr="000B0C9E">
        <w:rPr>
          <w:rFonts w:ascii="Times New Roman" w:hAnsi="Times New Roman" w:cs="Times New Roman"/>
        </w:rPr>
        <w:t>specifically devoted to human rights (Chapter 11</w:t>
      </w:r>
      <w:r w:rsidR="00B226A2">
        <w:rPr>
          <w:rFonts w:ascii="Times New Roman" w:hAnsi="Times New Roman" w:cs="Times New Roman"/>
        </w:rPr>
        <w:t>)</w:t>
      </w:r>
      <w:r w:rsidRPr="000B0C9E">
        <w:rPr>
          <w:rFonts w:ascii="Times New Roman" w:hAnsi="Times New Roman" w:cs="Times New Roman"/>
        </w:rPr>
        <w:t xml:space="preserve"> and</w:t>
      </w:r>
      <w:r w:rsidR="002A0CB5">
        <w:rPr>
          <w:rFonts w:ascii="Times New Roman" w:hAnsi="Times New Roman" w:cs="Times New Roman"/>
        </w:rPr>
        <w:t xml:space="preserve"> </w:t>
      </w:r>
      <w:r w:rsidR="00B226A2">
        <w:rPr>
          <w:rFonts w:ascii="Times New Roman" w:hAnsi="Times New Roman" w:cs="Times New Roman"/>
        </w:rPr>
        <w:t xml:space="preserve">that </w:t>
      </w:r>
      <w:r w:rsidR="00E85830">
        <w:rPr>
          <w:rFonts w:ascii="Times New Roman" w:hAnsi="Times New Roman" w:cs="Times New Roman"/>
        </w:rPr>
        <w:t>the</w:t>
      </w:r>
      <w:r w:rsidR="002A0CB5">
        <w:rPr>
          <w:rFonts w:ascii="Times New Roman" w:hAnsi="Times New Roman" w:cs="Times New Roman"/>
        </w:rPr>
        <w:t xml:space="preserve"> Universal Declaration of Human Rights</w:t>
      </w:r>
      <w:r w:rsidR="00E85830">
        <w:rPr>
          <w:rFonts w:ascii="Times New Roman" w:hAnsi="Times New Roman" w:cs="Times New Roman"/>
        </w:rPr>
        <w:t xml:space="preserve"> is included in the appendix.</w:t>
      </w:r>
      <w:r w:rsidR="001E2292">
        <w:rPr>
          <w:rFonts w:ascii="Times New Roman" w:hAnsi="Times New Roman" w:cs="Times New Roman"/>
        </w:rPr>
        <w:t xml:space="preserve"> Regarding environmental justice, </w:t>
      </w:r>
      <w:r w:rsidR="00E85830">
        <w:rPr>
          <w:rFonts w:ascii="Times New Roman" w:hAnsi="Times New Roman" w:cs="Times New Roman"/>
        </w:rPr>
        <w:t xml:space="preserve">this concept also is incorporated in the content of the chapters of the book, with special emphasis in the environmental- and minorities- focused chapters. </w:t>
      </w:r>
      <w:r w:rsidR="00CC59A9">
        <w:rPr>
          <w:rFonts w:ascii="Times New Roman" w:hAnsi="Times New Roman" w:cs="Times New Roman"/>
        </w:rPr>
        <w:t>CSWE's emphasis on the teaching of environmental as well as social and economic justice content marks</w:t>
      </w:r>
      <w:r w:rsidR="00D37B76">
        <w:rPr>
          <w:rFonts w:ascii="Times New Roman" w:hAnsi="Times New Roman" w:cs="Times New Roman"/>
        </w:rPr>
        <w:t xml:space="preserve"> a major breakthrough</w:t>
      </w:r>
      <w:r w:rsidR="00F27CA2">
        <w:rPr>
          <w:rFonts w:ascii="Times New Roman" w:hAnsi="Times New Roman" w:cs="Times New Roman"/>
        </w:rPr>
        <w:t xml:space="preserve"> for social work education, one that wa</w:t>
      </w:r>
      <w:r w:rsidR="00D37B76">
        <w:rPr>
          <w:rFonts w:ascii="Times New Roman" w:hAnsi="Times New Roman" w:cs="Times New Roman"/>
        </w:rPr>
        <w:t>s very much applauded in sustainability circles</w:t>
      </w:r>
      <w:r w:rsidR="00CC59A9">
        <w:rPr>
          <w:rFonts w:ascii="Times New Roman" w:hAnsi="Times New Roman" w:cs="Times New Roman"/>
        </w:rPr>
        <w:t xml:space="preserve"> and that should create greater interest in this text. To help social work educators meet the standards for accreditation of their programs, we have aligned the basic nine competencies and their sub-divisions with specific chapter sections where the standards are covered. </w:t>
      </w:r>
    </w:p>
    <w:p w:rsidR="00CC59A9" w:rsidRDefault="00CC59A9" w:rsidP="006E39E2">
      <w:pPr>
        <w:pStyle w:val="Default"/>
        <w:rPr>
          <w:rFonts w:ascii="Times New Roman" w:hAnsi="Times New Roman" w:cs="Times New Roman"/>
          <w:b/>
        </w:rPr>
      </w:pPr>
    </w:p>
    <w:p w:rsidR="00CE2A42" w:rsidRPr="00961687" w:rsidRDefault="00CE2A42" w:rsidP="006E39E2">
      <w:pPr>
        <w:pStyle w:val="Default"/>
        <w:rPr>
          <w:rFonts w:ascii="Times New Roman" w:hAnsi="Times New Roman" w:cs="Times New Roman"/>
          <w:b/>
        </w:rPr>
      </w:pPr>
      <w:r w:rsidRPr="00961687">
        <w:rPr>
          <w:rFonts w:ascii="Times New Roman" w:hAnsi="Times New Roman" w:cs="Times New Roman"/>
          <w:b/>
        </w:rPr>
        <w:t xml:space="preserve"> The Nine Core Competencies </w:t>
      </w:r>
    </w:p>
    <w:p w:rsidR="00CE2A42" w:rsidRPr="00961687" w:rsidRDefault="00CE2A42" w:rsidP="006E39E2">
      <w:pPr>
        <w:pStyle w:val="Default"/>
        <w:rPr>
          <w:rFonts w:ascii="Times New Roman" w:hAnsi="Times New Roman" w:cs="Times New Roman"/>
        </w:rPr>
      </w:pPr>
      <w:r w:rsidRPr="00961687">
        <w:rPr>
          <w:rFonts w:ascii="Times New Roman" w:hAnsi="Times New Roman" w:cs="Times New Roman"/>
        </w:rPr>
        <w:t xml:space="preserve">Each of the basic competencies is divided into two to five subheadings. We have provided letters for each of the headings in the order that they appear in the EPAS as a,b,c, etc. </w:t>
      </w:r>
      <w:r w:rsidR="00CD3EE5">
        <w:rPr>
          <w:rFonts w:ascii="Times New Roman" w:hAnsi="Times New Roman" w:cs="Times New Roman"/>
        </w:rPr>
        <w:t xml:space="preserve">The format we have chosen is to insert the relevant curricular competencies within the text's table of contents so that faculty can locate them more specifically. Because each competency is broken down into a measurable component, the individual components are spelled out. </w:t>
      </w:r>
      <w:r w:rsidR="00EA03B0">
        <w:rPr>
          <w:rFonts w:ascii="Times New Roman" w:hAnsi="Times New Roman" w:cs="Times New Roman"/>
        </w:rPr>
        <w:t>This manual also contains sample class exercises that are described at the end of</w:t>
      </w:r>
      <w:r w:rsidR="00E81337">
        <w:rPr>
          <w:rFonts w:ascii="Times New Roman" w:hAnsi="Times New Roman" w:cs="Times New Roman"/>
        </w:rPr>
        <w:t xml:space="preserve"> each of the chapters' headings. Especially note the final exercise which describes a</w:t>
      </w:r>
      <w:r w:rsidR="00B602BC">
        <w:rPr>
          <w:rFonts w:ascii="Times New Roman" w:hAnsi="Times New Roman" w:cs="Times New Roman"/>
        </w:rPr>
        <w:t>n evaluation of student learning as a viable measure of</w:t>
      </w:r>
      <w:r w:rsidR="00E81337">
        <w:rPr>
          <w:rFonts w:ascii="Times New Roman" w:hAnsi="Times New Roman" w:cs="Times New Roman"/>
        </w:rPr>
        <w:t xml:space="preserve"> learning outcomes</w:t>
      </w:r>
      <w:r w:rsidR="00B602BC">
        <w:rPr>
          <w:rFonts w:ascii="Times New Roman" w:hAnsi="Times New Roman" w:cs="Times New Roman"/>
        </w:rPr>
        <w:t xml:space="preserve">. </w:t>
      </w:r>
      <w:r w:rsidR="00E81337">
        <w:rPr>
          <w:rFonts w:ascii="Times New Roman" w:hAnsi="Times New Roman" w:cs="Times New Roman"/>
        </w:rPr>
        <w:t>Exercises are categorized according to relevant competencies a</w:t>
      </w:r>
      <w:r w:rsidR="00EA03B0">
        <w:rPr>
          <w:rFonts w:ascii="Times New Roman" w:hAnsi="Times New Roman" w:cs="Times New Roman"/>
        </w:rPr>
        <w:t>s listed according to the general categories as provided below:</w:t>
      </w:r>
      <w:r w:rsidR="00CD3EE5">
        <w:rPr>
          <w:rFonts w:ascii="Times New Roman" w:hAnsi="Times New Roman" w:cs="Times New Roman"/>
        </w:rPr>
        <w:t xml:space="preserve"> </w:t>
      </w:r>
    </w:p>
    <w:p w:rsidR="00D962E6" w:rsidRPr="00961687" w:rsidRDefault="00D962E6" w:rsidP="00CE2A42">
      <w:pPr>
        <w:pStyle w:val="Default"/>
        <w:rPr>
          <w:rFonts w:ascii="Times New Roman" w:hAnsi="Times New Roman" w:cs="Times New Roman"/>
        </w:rPr>
      </w:pPr>
    </w:p>
    <w:p w:rsidR="00CE2A42" w:rsidRPr="00961687" w:rsidRDefault="00CE2A42" w:rsidP="00CE2A42">
      <w:pPr>
        <w:pStyle w:val="Default"/>
        <w:rPr>
          <w:rFonts w:ascii="Times New Roman" w:hAnsi="Times New Roman" w:cs="Times New Roman"/>
        </w:rPr>
      </w:pPr>
      <w:r w:rsidRPr="00961687">
        <w:rPr>
          <w:rFonts w:ascii="Times New Roman" w:hAnsi="Times New Roman" w:cs="Times New Roman"/>
        </w:rPr>
        <w:t>Competency 1: Demonstrate Ethical and Professional Behavior</w:t>
      </w:r>
    </w:p>
    <w:p w:rsidR="00CE2A42" w:rsidRPr="00961687" w:rsidRDefault="00CE2A42" w:rsidP="00CE2A42">
      <w:pPr>
        <w:pStyle w:val="Default"/>
        <w:rPr>
          <w:rFonts w:ascii="Times New Roman" w:hAnsi="Times New Roman" w:cs="Times New Roman"/>
        </w:rPr>
      </w:pPr>
      <w:r w:rsidRPr="00961687">
        <w:rPr>
          <w:rFonts w:ascii="Times New Roman" w:hAnsi="Times New Roman" w:cs="Times New Roman"/>
        </w:rPr>
        <w:t>Competency 2: Engage Diversity and Difference in Practice</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3: Advance Human Rights and Social, Economic, and Environmental Justice</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4: Engage in Practice-Informed Research and Research-Informed Practice</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5: Engage in Policy Practice</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6: Engage with Individuals, Families, Groups, Organizations, and Communities</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7: Assess Individuals, Families, Groups, Organizations, and Communities</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8: Intervene with Individuals, Families, Groups, Organizations, and Communities</w:t>
      </w:r>
    </w:p>
    <w:p w:rsidR="00D962E6" w:rsidRPr="00961687" w:rsidRDefault="00D962E6" w:rsidP="00CE2A42">
      <w:pPr>
        <w:pStyle w:val="Default"/>
        <w:rPr>
          <w:rFonts w:ascii="Times New Roman" w:hAnsi="Times New Roman" w:cs="Times New Roman"/>
        </w:rPr>
      </w:pPr>
      <w:r w:rsidRPr="00961687">
        <w:rPr>
          <w:rFonts w:ascii="Times New Roman" w:hAnsi="Times New Roman" w:cs="Times New Roman"/>
        </w:rPr>
        <w:t>Competency 9: Evaluate Practice with Individuals, Families, Groups, Organizations, and Communities</w:t>
      </w:r>
    </w:p>
    <w:p w:rsidR="00D962E6" w:rsidRPr="00961687" w:rsidRDefault="00D962E6" w:rsidP="00CE2A42">
      <w:pPr>
        <w:pStyle w:val="Default"/>
        <w:rPr>
          <w:rFonts w:ascii="Times New Roman" w:hAnsi="Times New Roman" w:cs="Times New Roman"/>
        </w:rPr>
      </w:pPr>
    </w:p>
    <w:p w:rsidR="00A526CE" w:rsidRPr="00961687" w:rsidRDefault="00A526CE" w:rsidP="006E39E2">
      <w:pPr>
        <w:pStyle w:val="Default"/>
        <w:rPr>
          <w:rFonts w:ascii="Times New Roman" w:hAnsi="Times New Roman" w:cs="Times New Roman"/>
          <w:b/>
        </w:rPr>
      </w:pPr>
      <w:r w:rsidRPr="00961687">
        <w:rPr>
          <w:rFonts w:ascii="Times New Roman" w:hAnsi="Times New Roman" w:cs="Times New Roman"/>
          <w:b/>
        </w:rPr>
        <w:t>Reference:</w:t>
      </w:r>
    </w:p>
    <w:p w:rsidR="00A526CE" w:rsidRPr="00961687" w:rsidRDefault="00A526CE" w:rsidP="00A526CE">
      <w:pPr>
        <w:pStyle w:val="Default"/>
        <w:rPr>
          <w:rFonts w:ascii="Times New Roman" w:hAnsi="Times New Roman" w:cs="Times New Roman"/>
        </w:rPr>
      </w:pPr>
      <w:r w:rsidRPr="00961687">
        <w:rPr>
          <w:rFonts w:ascii="Times New Roman" w:hAnsi="Times New Roman" w:cs="Times New Roman"/>
        </w:rPr>
        <w:t xml:space="preserve">Council on Social Work Education (CSWE) (2015). Final 2015 Educational Policy. </w:t>
      </w:r>
      <w:r w:rsidRPr="00961687">
        <w:rPr>
          <w:rFonts w:ascii="Times New Roman" w:hAnsi="Times New Roman" w:cs="Times New Roman"/>
          <w:bCs/>
        </w:rPr>
        <w:t>Developed by CSWE Commission on Educational Policy (COEP). Approved by the CSWE Board of Directors March 2015</w:t>
      </w:r>
    </w:p>
    <w:p w:rsidR="004C57C9" w:rsidRDefault="004C57C9" w:rsidP="008D41B3"/>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579C1"/>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32A9"/>
    <w:rsid w:val="00D962E6"/>
    <w:rsid w:val="00DB10D3"/>
    <w:rsid w:val="00DB52D9"/>
    <w:rsid w:val="00DC0359"/>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tudy.sagepub.com/vanwormer/instructor-resources/cswe-competenc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E4CA6-848A-4AE2-AC72-5CE603210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1454</TotalTime>
  <Pages>2</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33</cp:revision>
  <dcterms:created xsi:type="dcterms:W3CDTF">2015-03-26T03:43:00Z</dcterms:created>
  <dcterms:modified xsi:type="dcterms:W3CDTF">2015-04-10T16:27:00Z</dcterms:modified>
</cp:coreProperties>
</file>